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736"/>
      </w:tblGrid>
      <w:tr w:rsidR="006B172A" w:rsidRPr="00CD2703" w:rsidTr="00EC480A">
        <w:tc>
          <w:tcPr>
            <w:tcW w:w="1728" w:type="dxa"/>
          </w:tcPr>
          <w:p w:rsidR="006B172A" w:rsidRDefault="006B172A" w:rsidP="00EC480A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BE6B54">
              <w:rPr>
                <w:rFonts w:ascii="Arial" w:hAnsi="Arial" w:cs="Arial"/>
                <w:lang w:val="sv-SE"/>
              </w:rPr>
              <w:t>UNIVERSITAS ISLAM NEGERI MAULANA MALIK IBRAHIM MALANG</w:t>
            </w:r>
          </w:p>
          <w:p w:rsidR="006B172A" w:rsidRPr="00BE6B54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  <w:r w:rsidRPr="00BE6B54">
              <w:rPr>
                <w:rFonts w:ascii="Arial" w:hAnsi="Arial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BE6B54" w:rsidRDefault="006B172A" w:rsidP="005B6CDD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“ SK BAN-PT No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mor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: 1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57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SK/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BAN-PT/Ak-X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VI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/S/V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I/20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13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(Al Ahwal Al Syakhshiyyah)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B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“ SK BAN-PT Nomor : 021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/BAN-PT/Ak-X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IV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/S1/VI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/2011 (Hukum Bisnis Syariah)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B54">
              <w:rPr>
                <w:rFonts w:ascii="Arial" w:hAnsi="Arial" w:cs="Arial"/>
                <w:sz w:val="20"/>
                <w:szCs w:val="20"/>
              </w:rPr>
              <w:t>Jalan Gajayana 50  Malang 65144 Telp. (0341) 559399  Faks. (0341) 559399</w:t>
            </w:r>
          </w:p>
          <w:p w:rsidR="006B172A" w:rsidRPr="00BE6B54" w:rsidRDefault="006B172A" w:rsidP="00EC480A">
            <w:pPr>
              <w:spacing w:line="288" w:lineRule="auto"/>
              <w:ind w:right="-108"/>
              <w:jc w:val="center"/>
              <w:rPr>
                <w:sz w:val="18"/>
                <w:szCs w:val="18"/>
              </w:rPr>
            </w:pPr>
            <w:r w:rsidRPr="00BE6B54">
              <w:rPr>
                <w:rFonts w:ascii="Arial" w:hAnsi="Arial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Default="002D2D0D">
      <w:r>
        <w:rPr>
          <w:noProof/>
        </w:rPr>
        <w:pict>
          <v:line id="_x0000_s1027" style="position:absolute;z-index:251661312;mso-position-horizontal-relative:text;mso-position-vertical-relative:text" from="-.35pt,7.9pt" to="467.25pt,7.9pt" strokeweight="3pt">
            <v:stroke linestyle="thinThin"/>
          </v:line>
        </w:pict>
      </w:r>
    </w:p>
    <w:p w:rsidR="006B172A" w:rsidRPr="00520EA6" w:rsidRDefault="006B172A" w:rsidP="005D261B">
      <w:pPr>
        <w:tabs>
          <w:tab w:val="left" w:pos="900"/>
        </w:tabs>
        <w:rPr>
          <w:rFonts w:ascii="Arial Narrow" w:hAnsi="Arial Narrow" w:cs="Arial"/>
          <w:bCs/>
          <w:sz w:val="22"/>
          <w:szCs w:val="22"/>
          <w:lang w:val="sv-SE"/>
        </w:rPr>
      </w:pPr>
      <w:r w:rsidRPr="00520EA6">
        <w:rPr>
          <w:rFonts w:ascii="Arial Narrow" w:hAnsi="Arial Narrow" w:cs="Arial"/>
          <w:bCs/>
          <w:sz w:val="22"/>
          <w:szCs w:val="22"/>
          <w:lang w:val="sv-SE"/>
        </w:rPr>
        <w:t>Nomor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: </w:t>
      </w:r>
      <w:r w:rsidRPr="00520EA6">
        <w:rPr>
          <w:rFonts w:ascii="Arial Narrow" w:hAnsi="Arial Narrow"/>
          <w:lang w:val="da-DK"/>
        </w:rPr>
        <w:t>Un.3.</w:t>
      </w:r>
      <w:r w:rsidR="00D34E53" w:rsidRPr="00520EA6">
        <w:rPr>
          <w:rFonts w:ascii="Arial Narrow" w:hAnsi="Arial Narrow"/>
          <w:lang w:val="da-DK"/>
        </w:rPr>
        <w:t>2</w:t>
      </w:r>
      <w:r w:rsidRPr="00520EA6">
        <w:rPr>
          <w:rFonts w:ascii="Arial Narrow" w:hAnsi="Arial Narrow"/>
          <w:lang w:val="da-DK"/>
        </w:rPr>
        <w:t>/KS.01.3/</w:t>
      </w:r>
      <w:r w:rsidR="005D261B">
        <w:rPr>
          <w:rFonts w:ascii="Arial Narrow" w:hAnsi="Arial Narrow"/>
          <w:lang w:val="da-DK"/>
        </w:rPr>
        <w:t>954</w:t>
      </w:r>
      <w:r w:rsidRPr="00520EA6">
        <w:rPr>
          <w:rFonts w:ascii="Arial Narrow" w:hAnsi="Arial Narrow"/>
          <w:lang w:val="da-DK"/>
        </w:rPr>
        <w:t>/</w:t>
      </w:r>
      <w:r w:rsidR="00A12480" w:rsidRPr="00520EA6">
        <w:rPr>
          <w:rFonts w:ascii="Arial Narrow" w:hAnsi="Arial Narrow"/>
          <w:lang w:val="da-DK"/>
        </w:rPr>
        <w:t>2014</w:t>
      </w:r>
      <w:r w:rsidRPr="00520EA6">
        <w:rPr>
          <w:rFonts w:ascii="Arial Narrow" w:hAnsi="Arial Narrow"/>
          <w:lang w:val="da-DK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  </w:t>
      </w:r>
      <w:r w:rsidR="00760F37"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            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</w:r>
      <w:r w:rsidR="005D261B">
        <w:rPr>
          <w:rFonts w:ascii="Arial Narrow" w:hAnsi="Arial Narrow" w:cs="Arial"/>
          <w:bCs/>
          <w:sz w:val="22"/>
          <w:szCs w:val="22"/>
          <w:lang w:val="sv-SE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Malang, </w:t>
      </w:r>
      <w:r w:rsidR="005D261B">
        <w:rPr>
          <w:rFonts w:ascii="Arial Narrow" w:hAnsi="Arial Narrow" w:cs="Arial"/>
          <w:bCs/>
          <w:sz w:val="22"/>
          <w:szCs w:val="22"/>
          <w:lang w:val="sv-SE"/>
        </w:rPr>
        <w:t>15</w:t>
      </w:r>
      <w:r w:rsidR="009D23EC"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="00074FD4">
        <w:rPr>
          <w:rFonts w:ascii="Arial Narrow" w:hAnsi="Arial Narrow" w:cs="Arial"/>
          <w:bCs/>
          <w:sz w:val="22"/>
          <w:szCs w:val="22"/>
          <w:lang w:val="sv-SE"/>
        </w:rPr>
        <w:t xml:space="preserve">Oktober </w:t>
      </w:r>
      <w:r w:rsidR="009D23EC"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2014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Lampiran</w:t>
      </w:r>
      <w:r w:rsidRPr="00520EA6">
        <w:rPr>
          <w:rFonts w:ascii="Arial Narrow" w:hAnsi="Arial Narrow" w:cs="Arial"/>
          <w:bCs/>
          <w:lang w:val="sv-SE"/>
        </w:rPr>
        <w:tab/>
        <w:t>: 1 bendel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Hal</w:t>
      </w:r>
      <w:r w:rsidRPr="00520EA6">
        <w:rPr>
          <w:rFonts w:ascii="Arial Narrow" w:hAnsi="Arial Narrow" w:cs="Arial"/>
          <w:bCs/>
          <w:lang w:val="sv-SE"/>
        </w:rPr>
        <w:tab/>
        <w:t>: Permintaan Informasi Harga Barang</w:t>
      </w:r>
    </w:p>
    <w:p w:rsidR="006B172A" w:rsidRPr="00520EA6" w:rsidRDefault="006B172A" w:rsidP="00E84289">
      <w:pPr>
        <w:tabs>
          <w:tab w:val="left" w:pos="900"/>
        </w:tabs>
        <w:rPr>
          <w:rFonts w:ascii="Arial Narrow" w:hAnsi="Arial Narrow" w:cs="Arial"/>
          <w:b/>
          <w:sz w:val="12"/>
          <w:szCs w:val="12"/>
          <w:lang w:val="sv-SE"/>
        </w:rPr>
      </w:pPr>
      <w:r w:rsidRPr="00520EA6">
        <w:rPr>
          <w:rFonts w:ascii="Arial Narrow" w:hAnsi="Arial Narrow" w:cs="Arial"/>
          <w:b/>
          <w:lang w:val="sv-SE"/>
        </w:rPr>
        <w:tab/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</w:p>
    <w:p w:rsidR="006B172A" w:rsidRPr="00520EA6" w:rsidRDefault="006B172A" w:rsidP="006B172A">
      <w:pPr>
        <w:tabs>
          <w:tab w:val="left" w:pos="0"/>
        </w:tabs>
        <w:ind w:left="1077" w:hanging="69"/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Yth. _____________________________</w:t>
      </w:r>
    </w:p>
    <w:p w:rsidR="006B172A" w:rsidRPr="00520EA6" w:rsidRDefault="006B172A" w:rsidP="006B172A">
      <w:pPr>
        <w:tabs>
          <w:tab w:val="left" w:pos="900"/>
        </w:tabs>
        <w:ind w:left="1080" w:hanging="58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>Di Tempat</w:t>
      </w:r>
    </w:p>
    <w:p w:rsidR="006B172A" w:rsidRPr="00520EA6" w:rsidRDefault="006B172A" w:rsidP="006B172A">
      <w:pPr>
        <w:spacing w:before="120" w:line="360" w:lineRule="auto"/>
        <w:rPr>
          <w:rFonts w:ascii="Arial Narrow" w:hAnsi="Arial Narrow" w:cs="Arial"/>
          <w:bCs/>
          <w:i/>
          <w:iCs/>
          <w:lang w:val="fi-FI"/>
        </w:rPr>
      </w:pPr>
    </w:p>
    <w:p w:rsidR="006B172A" w:rsidRPr="00520EA6" w:rsidRDefault="006B172A" w:rsidP="006B172A">
      <w:pPr>
        <w:spacing w:line="312" w:lineRule="auto"/>
        <w:ind w:left="981" w:firstLine="11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Assalamua'laikum wa Rahmatullah wa Barakatuh</w:t>
      </w:r>
    </w:p>
    <w:p w:rsidR="006B172A" w:rsidRPr="00520EA6" w:rsidRDefault="006B172A" w:rsidP="005357B8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Sehubungan rencana realisasi pelaksanaan pekerjaan </w:t>
      </w:r>
      <w:r w:rsidR="005D64FB" w:rsidRPr="00520EA6">
        <w:rPr>
          <w:rFonts w:ascii="Arial Narrow" w:hAnsi="Arial Narrow" w:cs="Arial"/>
          <w:b/>
          <w:lang w:val="fi-FI"/>
        </w:rPr>
        <w:t xml:space="preserve">belanja modal </w:t>
      </w:r>
      <w:r w:rsidR="00074FD4">
        <w:rPr>
          <w:rFonts w:ascii="Arial Narrow" w:hAnsi="Arial Narrow" w:cs="Arial"/>
          <w:b/>
          <w:lang w:val="fi-FI"/>
        </w:rPr>
        <w:t>per</w:t>
      </w:r>
      <w:r w:rsidR="005357B8">
        <w:rPr>
          <w:rFonts w:ascii="Arial Narrow" w:hAnsi="Arial Narrow" w:cs="Arial"/>
          <w:b/>
          <w:lang w:val="fi-FI"/>
        </w:rPr>
        <w:t>a</w:t>
      </w:r>
      <w:r w:rsidR="00074FD4">
        <w:rPr>
          <w:rFonts w:ascii="Arial Narrow" w:hAnsi="Arial Narrow" w:cs="Arial"/>
          <w:b/>
          <w:lang w:val="fi-FI"/>
        </w:rPr>
        <w:t xml:space="preserve">latan dan mesin </w:t>
      </w:r>
      <w:r w:rsidR="005D64FB" w:rsidRPr="00520EA6">
        <w:rPr>
          <w:rFonts w:ascii="Arial Narrow" w:hAnsi="Arial Narrow" w:cs="Arial"/>
          <w:b/>
          <w:lang w:val="fi-FI"/>
        </w:rPr>
        <w:t xml:space="preserve">berupa </w:t>
      </w:r>
      <w:r w:rsidRPr="00520EA6">
        <w:rPr>
          <w:rFonts w:ascii="Arial Narrow" w:hAnsi="Arial Narrow" w:cs="Arial"/>
          <w:b/>
          <w:lang w:val="fi-FI"/>
        </w:rPr>
        <w:t xml:space="preserve">pengadaan </w:t>
      </w:r>
      <w:r w:rsidR="00074FD4">
        <w:rPr>
          <w:rFonts w:ascii="Arial Narrow" w:hAnsi="Arial Narrow" w:cs="Arial"/>
          <w:b/>
          <w:lang w:val="fi-FI"/>
        </w:rPr>
        <w:t xml:space="preserve">AC, lemari arsip dan telescope </w:t>
      </w:r>
      <w:r w:rsidRPr="00520EA6">
        <w:rPr>
          <w:rFonts w:ascii="Arial Narrow" w:hAnsi="Arial Narrow" w:cs="Arial"/>
          <w:bCs/>
          <w:lang w:val="fi-FI"/>
        </w:rPr>
        <w:t xml:space="preserve">untuk Fakultas </w:t>
      </w:r>
      <w:r w:rsidR="00162DAA" w:rsidRPr="00520EA6">
        <w:rPr>
          <w:rFonts w:ascii="Arial Narrow" w:hAnsi="Arial Narrow" w:cs="Arial"/>
          <w:bCs/>
          <w:lang w:val="fi-FI"/>
        </w:rPr>
        <w:t xml:space="preserve">Syariah </w:t>
      </w:r>
      <w:r w:rsidRPr="00520EA6">
        <w:rPr>
          <w:rFonts w:ascii="Arial Narrow" w:hAnsi="Arial Narrow" w:cs="Arial"/>
          <w:bCs/>
          <w:lang w:val="fi-FI"/>
        </w:rPr>
        <w:t>UIN Maulana Malik Ibrahim Malang,</w:t>
      </w:r>
      <w:r w:rsidR="004E6815" w:rsidRPr="00520EA6">
        <w:rPr>
          <w:rFonts w:ascii="Arial Narrow" w:hAnsi="Arial Narrow" w:cs="Arial"/>
          <w:bCs/>
          <w:lang w:val="fi-FI"/>
        </w:rPr>
        <w:t xml:space="preserve"> </w:t>
      </w:r>
      <w:r w:rsidRPr="00520EA6">
        <w:rPr>
          <w:rFonts w:ascii="Arial Narrow" w:hAnsi="Arial Narrow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 w:rsidRPr="00520EA6">
        <w:rPr>
          <w:rFonts w:ascii="Arial Narrow" w:hAnsi="Arial Narrow" w:cs="Arial"/>
          <w:bCs/>
          <w:lang w:val="fi-FI"/>
        </w:rPr>
        <w:t>.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2D2D0D" w:rsidP="002D2D0D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>
              <w:rPr>
                <w:rFonts w:ascii="Arial Narrow" w:hAnsi="Arial Narrow" w:cs="Arial"/>
                <w:bCs/>
                <w:lang w:val="id-ID"/>
              </w:rPr>
              <w:t xml:space="preserve">Selasa, </w:t>
            </w:r>
            <w:r w:rsidR="005357B8">
              <w:rPr>
                <w:rFonts w:ascii="Arial Narrow" w:hAnsi="Arial Narrow" w:cs="Arial"/>
                <w:bCs/>
              </w:rPr>
              <w:t>2</w:t>
            </w:r>
            <w:r>
              <w:rPr>
                <w:rFonts w:ascii="Arial Narrow" w:hAnsi="Arial Narrow" w:cs="Arial"/>
                <w:bCs/>
                <w:lang w:val="id-ID"/>
              </w:rPr>
              <w:t>8</w:t>
            </w:r>
            <w:bookmarkStart w:id="0" w:name="_GoBack"/>
            <w:bookmarkEnd w:id="0"/>
            <w:r w:rsidR="005357B8">
              <w:rPr>
                <w:rFonts w:ascii="Arial Narrow" w:hAnsi="Arial Narrow" w:cs="Arial"/>
                <w:bCs/>
              </w:rPr>
              <w:t xml:space="preserve"> Oktober</w:t>
            </w:r>
            <w:r w:rsidR="00760F37" w:rsidRPr="00520EA6">
              <w:rPr>
                <w:rFonts w:ascii="Arial Narrow" w:hAnsi="Arial Narrow" w:cs="Arial"/>
                <w:bCs/>
              </w:rPr>
              <w:t xml:space="preserve"> </w:t>
            </w:r>
            <w:r w:rsidR="006B172A" w:rsidRPr="00520EA6">
              <w:rPr>
                <w:rFonts w:ascii="Arial Narrow" w:hAnsi="Arial Narrow" w:cs="Arial"/>
                <w:bCs/>
              </w:rPr>
              <w:t>201</w:t>
            </w:r>
            <w:r w:rsidR="003A593E" w:rsidRPr="00520EA6">
              <w:rPr>
                <w:rFonts w:ascii="Arial Narrow" w:hAnsi="Arial Narrow" w:cs="Arial"/>
                <w:bCs/>
              </w:rPr>
              <w:t>4</w:t>
            </w:r>
            <w:r w:rsidR="006B172A" w:rsidRPr="00520EA6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14.00 WIB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>tempat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162DA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es-ES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 xml:space="preserve">Fakultas </w:t>
            </w:r>
            <w:r w:rsidR="00162DAA" w:rsidRPr="00520EA6">
              <w:rPr>
                <w:rFonts w:ascii="Arial Narrow" w:hAnsi="Arial Narrow" w:cs="Arial"/>
                <w:bCs/>
                <w:lang w:val="es-ES"/>
              </w:rPr>
              <w:t xml:space="preserve">Syariah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 xml:space="preserve">UIN Maulana Malik Ibrahim Malang </w:t>
            </w:r>
          </w:p>
          <w:p w:rsidR="001001E6" w:rsidRDefault="006B172A" w:rsidP="006802DE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 xml:space="preserve">Atau penawarannya bisa dikirim via e-mail ke : </w:t>
            </w:r>
            <w:hyperlink r:id="rId8" w:history="1">
              <w:r w:rsidR="001001E6" w:rsidRPr="00DF75F5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</w:t>
              </w:r>
              <w:r w:rsidR="001001E6" w:rsidRPr="00DF75F5">
                <w:rPr>
                  <w:rStyle w:val="Hyperlink"/>
                  <w:rFonts w:ascii="Arial Narrow" w:hAnsi="Arial Narrow" w:cs="Arial"/>
                  <w:bCs/>
                  <w:lang w:val="id-ID"/>
                </w:rPr>
                <w:t>uinmaliki@gmail.com</w:t>
              </w:r>
            </w:hyperlink>
          </w:p>
          <w:p w:rsidR="006B172A" w:rsidRPr="00520EA6" w:rsidRDefault="006B172A" w:rsidP="006802DE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 xml:space="preserve"> atau </w:t>
            </w:r>
            <w:hyperlink r:id="rId9" w:history="1">
              <w:r w:rsidRPr="00520EA6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ulp_uinmalang@kemenag.go.id</w:t>
              </w:r>
            </w:hyperlink>
            <w:r w:rsidRPr="00520EA6">
              <w:rPr>
                <w:rFonts w:ascii="Arial Narrow" w:hAnsi="Arial Narrow" w:cs="Arial"/>
                <w:bCs/>
                <w:lang w:val="es-ES"/>
              </w:rPr>
              <w:t xml:space="preserve"> Telp. Fak. </w:t>
            </w:r>
            <w:r w:rsidR="006802DE" w:rsidRPr="00520EA6">
              <w:rPr>
                <w:rFonts w:ascii="Arial Narrow" w:hAnsi="Arial Narrow" w:cs="Arial"/>
                <w:bCs/>
                <w:lang w:val="es-ES"/>
              </w:rPr>
              <w:t xml:space="preserve">Syariah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>0341-55</w:t>
            </w:r>
            <w:r w:rsidR="006802DE" w:rsidRPr="00520EA6">
              <w:rPr>
                <w:rFonts w:ascii="Arial Narrow" w:hAnsi="Arial Narrow" w:cs="Arial"/>
                <w:bCs/>
                <w:lang w:val="es-ES"/>
              </w:rPr>
              <w:t>9399</w:t>
            </w:r>
          </w:p>
        </w:tc>
      </w:tr>
    </w:tbl>
    <w:p w:rsidR="006B172A" w:rsidRPr="00520EA6" w:rsidRDefault="006B172A" w:rsidP="006B172A">
      <w:pPr>
        <w:spacing w:before="120" w:line="360" w:lineRule="auto"/>
        <w:ind w:left="260" w:firstLine="720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>Surat tentang informasi harga barang tersebut, ditujukan:</w:t>
      </w:r>
    </w:p>
    <w:p w:rsidR="006B172A" w:rsidRPr="00520EA6" w:rsidRDefault="006B172A" w:rsidP="006B172A">
      <w:pPr>
        <w:ind w:left="260" w:firstLine="720"/>
        <w:rPr>
          <w:rFonts w:ascii="Arial Narrow" w:hAnsi="Arial Narrow" w:cs="Arial"/>
          <w:i/>
          <w:iCs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Kepada Yth:</w:t>
      </w:r>
    </w:p>
    <w:p w:rsidR="006B172A" w:rsidRPr="00520EA6" w:rsidRDefault="006B172A" w:rsidP="006802DE">
      <w:pPr>
        <w:ind w:left="260" w:firstLine="720"/>
        <w:rPr>
          <w:rFonts w:ascii="Arial Narrow" w:hAnsi="Arial Narrow" w:cs="Arial"/>
          <w:i/>
          <w:iCs/>
          <w:lang w:val="id-ID"/>
        </w:rPr>
      </w:pPr>
      <w:r w:rsidRPr="00520EA6">
        <w:rPr>
          <w:rFonts w:ascii="Arial Narrow" w:hAnsi="Arial Narrow" w:cs="Arial"/>
          <w:i/>
          <w:iCs/>
          <w:lang w:val="sv-SE"/>
        </w:rPr>
        <w:t xml:space="preserve">Pejabat Pembuat Komitmen Fakultas </w:t>
      </w:r>
      <w:r w:rsidR="006802DE" w:rsidRPr="00520EA6">
        <w:rPr>
          <w:rFonts w:ascii="Arial Narrow" w:hAnsi="Arial Narrow" w:cs="Arial"/>
          <w:i/>
          <w:iCs/>
          <w:lang w:val="sv-SE"/>
        </w:rPr>
        <w:t>Syariah</w:t>
      </w:r>
    </w:p>
    <w:p w:rsidR="006B172A" w:rsidRPr="00520EA6" w:rsidRDefault="006B172A" w:rsidP="004E6815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Unversitas Islam Negeri Maulana Malik Ibrahim Malang Jl. Gajayana No. 50 Malang.</w:t>
      </w:r>
      <w:r w:rsidRPr="00520EA6">
        <w:rPr>
          <w:rFonts w:ascii="Arial Narrow" w:hAnsi="Arial Narrow" w:cs="Arial"/>
          <w:lang w:val="sv-SE"/>
        </w:rPr>
        <w:t xml:space="preserve"> </w:t>
      </w: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 xml:space="preserve">Demikian, atas perhatian dan kehadiran bapak/ibu disampaikan  terima kasih. </w:t>
      </w:r>
    </w:p>
    <w:p w:rsidR="006B172A" w:rsidRPr="00520EA6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Wassalamua'laikum wa Rahmatullah wa Barakatuh</w:t>
      </w:r>
    </w:p>
    <w:p w:rsidR="006B172A" w:rsidRPr="00520EA6" w:rsidRDefault="006B172A" w:rsidP="006B172A">
      <w:pPr>
        <w:tabs>
          <w:tab w:val="left" w:pos="900"/>
        </w:tabs>
        <w:ind w:left="108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444CD5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  <w:r w:rsidRPr="00520EA6">
        <w:rPr>
          <w:rFonts w:ascii="Arial Narrow" w:hAnsi="Arial Narrow" w:cs="Arial"/>
          <w:lang w:val="fi-FI"/>
        </w:rPr>
        <w:t>Pejabat</w:t>
      </w:r>
      <w:r w:rsidR="009F2A3D" w:rsidRPr="00520EA6">
        <w:rPr>
          <w:rFonts w:ascii="Arial Narrow" w:hAnsi="Arial Narrow" w:cs="Arial"/>
          <w:lang w:val="fi-FI"/>
        </w:rPr>
        <w:t xml:space="preserve"> </w:t>
      </w:r>
      <w:r w:rsidRPr="00520EA6">
        <w:rPr>
          <w:rFonts w:ascii="Arial Narrow" w:hAnsi="Arial Narrow" w:cs="Arial"/>
          <w:lang w:val="fi-FI"/>
        </w:rPr>
        <w:t>Pembuat Komitmen</w:t>
      </w: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Pr="00520EA6" w:rsidRDefault="00A12480" w:rsidP="00D844B6">
      <w:pPr>
        <w:tabs>
          <w:tab w:val="left" w:pos="-1530"/>
          <w:tab w:val="left" w:pos="6030"/>
        </w:tabs>
        <w:ind w:left="5670" w:hanging="130"/>
        <w:rPr>
          <w:rFonts w:ascii="Arial Narrow" w:hAnsi="Arial Narrow"/>
          <w:u w:val="single"/>
          <w:lang w:val="sv-SE"/>
        </w:rPr>
      </w:pPr>
      <w:r w:rsidRPr="00520EA6">
        <w:rPr>
          <w:rFonts w:ascii="Arial Narrow" w:hAnsi="Arial Narrow"/>
          <w:u w:val="single"/>
          <w:lang w:val="sv-SE"/>
        </w:rPr>
        <w:t>Dr. H. Saifullah, SH., M.Hum</w:t>
      </w:r>
    </w:p>
    <w:p w:rsidR="00096004" w:rsidRDefault="00B01041" w:rsidP="000C0043">
      <w:pPr>
        <w:ind w:left="5529"/>
        <w:jc w:val="both"/>
        <w:rPr>
          <w:rFonts w:ascii="Arial Narrow" w:hAnsi="Arial Narrow"/>
          <w:lang w:val="sv-SE"/>
        </w:rPr>
      </w:pPr>
      <w:r w:rsidRPr="00520EA6">
        <w:rPr>
          <w:rFonts w:ascii="Arial Narrow" w:hAnsi="Arial Narrow"/>
          <w:lang w:val="sv-SE"/>
        </w:rPr>
        <w:t>NIP 196512052000031001</w:t>
      </w:r>
    </w:p>
    <w:p w:rsidR="00096004" w:rsidRDefault="00096004">
      <w:pPr>
        <w:spacing w:after="200"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br w:type="page"/>
      </w:r>
    </w:p>
    <w:p w:rsidR="001763A7" w:rsidRDefault="001763A7" w:rsidP="00352AB2">
      <w:pPr>
        <w:ind w:left="4111"/>
        <w:rPr>
          <w:rFonts w:ascii="Arial Narrow" w:hAnsi="Arial Narrow"/>
        </w:rPr>
      </w:pPr>
    </w:p>
    <w:p w:rsidR="001763A7" w:rsidRDefault="001763A7" w:rsidP="00352AB2">
      <w:pPr>
        <w:ind w:left="4111"/>
        <w:rPr>
          <w:rFonts w:ascii="Arial Narrow" w:hAnsi="Arial Narrow"/>
        </w:rPr>
      </w:pPr>
    </w:p>
    <w:p w:rsidR="001763A7" w:rsidRDefault="001763A7" w:rsidP="00352AB2">
      <w:pPr>
        <w:ind w:left="4111"/>
        <w:rPr>
          <w:rFonts w:ascii="Arial Narrow" w:hAnsi="Arial Narrow"/>
        </w:rPr>
      </w:pPr>
    </w:p>
    <w:p w:rsidR="00096004" w:rsidRPr="006D0E38" w:rsidRDefault="00096004" w:rsidP="00352AB2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>Lampiran</w:t>
      </w:r>
      <w:r w:rsidRPr="006D0E38">
        <w:rPr>
          <w:rFonts w:ascii="Arial Narrow" w:hAnsi="Arial Narrow"/>
        </w:rPr>
        <w:tab/>
      </w:r>
      <w:r w:rsidRPr="006D0E38">
        <w:rPr>
          <w:rFonts w:ascii="Arial Narrow" w:hAnsi="Arial Narrow"/>
          <w:lang w:val="id-ID"/>
        </w:rPr>
        <w:t xml:space="preserve">: Surat </w:t>
      </w:r>
      <w:r w:rsidRPr="006D0E38">
        <w:rPr>
          <w:rFonts w:ascii="Arial Narrow" w:hAnsi="Arial Narrow"/>
        </w:rPr>
        <w:t>Pejabat Pembuat Komitmen</w:t>
      </w:r>
    </w:p>
    <w:p w:rsidR="00096004" w:rsidRPr="006D0E38" w:rsidRDefault="00096004" w:rsidP="003A593E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Nomor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Pr="006D0E38">
        <w:rPr>
          <w:rFonts w:ascii="Arial Narrow" w:hAnsi="Arial Narrow"/>
          <w:lang w:val="da-DK"/>
        </w:rPr>
        <w:t>Un.3.2/KS.01.3/</w:t>
      </w:r>
      <w:r w:rsidR="001001E6">
        <w:rPr>
          <w:rFonts w:ascii="Arial Narrow" w:hAnsi="Arial Narrow"/>
          <w:lang w:val="id-ID"/>
        </w:rPr>
        <w:t>954</w:t>
      </w:r>
      <w:r w:rsidR="00B01041" w:rsidRPr="006D0E38">
        <w:rPr>
          <w:rFonts w:ascii="Arial Narrow" w:hAnsi="Arial Narrow"/>
          <w:lang w:val="da-DK"/>
        </w:rPr>
        <w:t>/2014</w:t>
      </w:r>
    </w:p>
    <w:p w:rsidR="00096004" w:rsidRPr="006D0E38" w:rsidRDefault="00096004" w:rsidP="005357B8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 xml:space="preserve">Tanggal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3A593E" w:rsidRPr="006D0E38">
        <w:rPr>
          <w:rFonts w:ascii="Arial Narrow" w:hAnsi="Arial Narrow"/>
        </w:rPr>
        <w:t xml:space="preserve">      </w:t>
      </w:r>
      <w:r w:rsidR="001001E6">
        <w:rPr>
          <w:rFonts w:ascii="Arial Narrow" w:hAnsi="Arial Narrow"/>
          <w:lang w:val="id-ID"/>
        </w:rPr>
        <w:t>15</w:t>
      </w:r>
      <w:r w:rsidR="003A593E" w:rsidRPr="006D0E38">
        <w:rPr>
          <w:rFonts w:ascii="Arial Narrow" w:hAnsi="Arial Narrow"/>
        </w:rPr>
        <w:t xml:space="preserve">   </w:t>
      </w:r>
      <w:r w:rsidR="005357B8">
        <w:rPr>
          <w:rFonts w:ascii="Arial Narrow" w:hAnsi="Arial Narrow"/>
        </w:rPr>
        <w:t>Oktober</w:t>
      </w:r>
      <w:r w:rsidR="003A593E" w:rsidRPr="006D0E38">
        <w:rPr>
          <w:rFonts w:ascii="Arial Narrow" w:hAnsi="Arial Narrow"/>
        </w:rPr>
        <w:t xml:space="preserve"> 2014</w:t>
      </w:r>
    </w:p>
    <w:p w:rsidR="00096004" w:rsidRPr="006D0E38" w:rsidRDefault="00096004" w:rsidP="00352AB2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Tentang</w:t>
      </w:r>
      <w:r w:rsidRPr="006D0E38">
        <w:rPr>
          <w:rFonts w:ascii="Arial Narrow" w:hAnsi="Arial Narrow"/>
          <w:lang w:val="id-ID"/>
        </w:rPr>
        <w:tab/>
        <w:t>: Permintaan Informasi Harga Barang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</w:p>
    <w:p w:rsidR="00096004" w:rsidRPr="006D0E38" w:rsidRDefault="00096004" w:rsidP="00096004">
      <w:pPr>
        <w:jc w:val="center"/>
        <w:rPr>
          <w:rFonts w:ascii="Arial Narrow" w:hAnsi="Arial Narrow"/>
          <w:lang w:val="id-ID"/>
        </w:rPr>
      </w:pPr>
    </w:p>
    <w:p w:rsidR="00096004" w:rsidRPr="006D0E38" w:rsidRDefault="00096004" w:rsidP="001E708D">
      <w:pPr>
        <w:ind w:left="2268" w:hanging="2268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Pekerjaan </w:t>
      </w:r>
      <w:r w:rsidR="001E708D">
        <w:rPr>
          <w:rFonts w:ascii="Arial Narrow" w:hAnsi="Arial Narrow"/>
          <w:lang w:val="id-ID"/>
        </w:rPr>
        <w:t xml:space="preserve">                      </w:t>
      </w:r>
      <w:r w:rsidRPr="006D0E38">
        <w:rPr>
          <w:rFonts w:ascii="Arial Narrow" w:hAnsi="Arial Narrow"/>
          <w:lang w:val="id-ID"/>
        </w:rPr>
        <w:t xml:space="preserve">: </w:t>
      </w:r>
      <w:r w:rsidR="005168D8">
        <w:rPr>
          <w:rFonts w:ascii="Arial Narrow" w:hAnsi="Arial Narrow" w:cs="Arial"/>
          <w:b/>
          <w:lang w:val="fi-FI"/>
        </w:rPr>
        <w:t>P</w:t>
      </w:r>
      <w:r w:rsidR="005168D8" w:rsidRPr="00520EA6">
        <w:rPr>
          <w:rFonts w:ascii="Arial Narrow" w:hAnsi="Arial Narrow" w:cs="Arial"/>
          <w:b/>
          <w:lang w:val="fi-FI"/>
        </w:rPr>
        <w:t xml:space="preserve">engadaan </w:t>
      </w:r>
      <w:r w:rsidR="005168D8">
        <w:rPr>
          <w:rFonts w:ascii="Arial Narrow" w:hAnsi="Arial Narrow" w:cs="Arial"/>
          <w:b/>
          <w:lang w:val="fi-FI"/>
        </w:rPr>
        <w:t xml:space="preserve">AC, Lemari Arsip </w:t>
      </w:r>
      <w:r w:rsidR="001E708D">
        <w:rPr>
          <w:rFonts w:ascii="Arial Narrow" w:hAnsi="Arial Narrow" w:cs="Arial"/>
          <w:b/>
          <w:lang w:val="id-ID"/>
        </w:rPr>
        <w:t xml:space="preserve"> </w:t>
      </w:r>
      <w:r w:rsidR="005168D8">
        <w:rPr>
          <w:rFonts w:ascii="Arial Narrow" w:hAnsi="Arial Narrow" w:cs="Arial"/>
          <w:b/>
          <w:lang w:val="fi-FI"/>
        </w:rPr>
        <w:t>dan Telescope</w:t>
      </w:r>
    </w:p>
    <w:p w:rsidR="00096004" w:rsidRPr="006D0E38" w:rsidRDefault="00096004" w:rsidP="00096004">
      <w:pPr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Lokasi</w:t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  <w:t xml:space="preserve">: </w:t>
      </w:r>
      <w:r w:rsidRPr="006D0E38">
        <w:rPr>
          <w:rFonts w:ascii="Arial Narrow" w:hAnsi="Arial Narrow"/>
          <w:b/>
        </w:rPr>
        <w:t>Fakultas Syariah U</w:t>
      </w:r>
      <w:r w:rsidRPr="006D0E38">
        <w:rPr>
          <w:rFonts w:ascii="Arial Narrow" w:hAnsi="Arial Narrow"/>
          <w:b/>
          <w:lang w:val="id-ID"/>
        </w:rPr>
        <w:t>IN Maulana Malik Ibrahim Malang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  <w:r w:rsidRPr="006D0E38">
        <w:rPr>
          <w:rFonts w:ascii="Arial Narrow" w:hAnsi="Arial Narrow"/>
          <w:lang w:val="id-ID"/>
        </w:rPr>
        <w:t xml:space="preserve">Tahun Anggaran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B01041" w:rsidRPr="006D0E38">
        <w:rPr>
          <w:rFonts w:ascii="Arial Narrow" w:hAnsi="Arial Narrow"/>
          <w:b/>
          <w:lang w:val="id-ID"/>
        </w:rPr>
        <w:t>2014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</w:p>
    <w:tbl>
      <w:tblPr>
        <w:tblStyle w:val="TableGrid"/>
        <w:tblW w:w="104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617"/>
        <w:gridCol w:w="3969"/>
        <w:gridCol w:w="567"/>
        <w:gridCol w:w="993"/>
        <w:gridCol w:w="1361"/>
        <w:gridCol w:w="1418"/>
      </w:tblGrid>
      <w:tr w:rsidR="00096004" w:rsidRPr="006D0E38" w:rsidTr="006D0E38">
        <w:tc>
          <w:tcPr>
            <w:tcW w:w="567" w:type="dxa"/>
          </w:tcPr>
          <w:p w:rsidR="006D0E38" w:rsidRDefault="006D0E38" w:rsidP="00870196">
            <w:pPr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617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NAMA BARANG</w:t>
            </w:r>
          </w:p>
        </w:tc>
        <w:tc>
          <w:tcPr>
            <w:tcW w:w="3969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SPESIFIKASI</w:t>
            </w:r>
          </w:p>
        </w:tc>
        <w:tc>
          <w:tcPr>
            <w:tcW w:w="1560" w:type="dxa"/>
            <w:gridSpan w:val="2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VOLUME</w:t>
            </w: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HARGA SATUAN (Rp)</w:t>
            </w:r>
          </w:p>
        </w:tc>
        <w:tc>
          <w:tcPr>
            <w:tcW w:w="1418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JUMLAH (Rp)</w:t>
            </w: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567" w:type="dxa"/>
          </w:tcPr>
          <w:p w:rsidR="00096004" w:rsidRPr="001001E6" w:rsidRDefault="001A7379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17" w:type="dxa"/>
          </w:tcPr>
          <w:p w:rsidR="00096004" w:rsidRPr="001001E6" w:rsidRDefault="005168D8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AC</w:t>
            </w:r>
          </w:p>
        </w:tc>
        <w:tc>
          <w:tcPr>
            <w:tcW w:w="3969" w:type="dxa"/>
          </w:tcPr>
          <w:p w:rsidR="00F3616C" w:rsidRPr="001001E6" w:rsidRDefault="00F3616C" w:rsidP="00F3616C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>spesifikasi dan harga ac murah kapasitas 2 pk (harga sudah termasuk biaya pasang, bracket,</w:t>
            </w:r>
            <w:r w:rsidR="00123B0C" w:rsidRPr="001001E6">
              <w:rPr>
                <w:rFonts w:asciiTheme="majorHAnsi" w:hAnsiTheme="majorHAnsi"/>
                <w:sz w:val="18"/>
                <w:szCs w:val="18"/>
                <w:lang w:val="id-ID"/>
              </w:rPr>
              <w:t xml:space="preserve">kurang lebih </w:t>
            </w:r>
            <w:r w:rsidRPr="001001E6">
              <w:rPr>
                <w:rFonts w:asciiTheme="majorHAnsi" w:hAnsiTheme="majorHAnsi"/>
                <w:sz w:val="18"/>
                <w:szCs w:val="18"/>
              </w:rPr>
              <w:t>pipa 4 meter, kabel 4 meter dan selang air 2 meter</w:t>
            </w:r>
            <w:r w:rsidR="00123B0C" w:rsidRPr="001001E6">
              <w:rPr>
                <w:rFonts w:asciiTheme="majorHAnsi" w:hAnsiTheme="majorHAnsi"/>
                <w:sz w:val="18"/>
                <w:szCs w:val="18"/>
                <w:lang w:val="id-ID"/>
              </w:rPr>
              <w:t>, pemasangan di lantai 3</w:t>
            </w:r>
            <w:r w:rsidRPr="001001E6">
              <w:rPr>
                <w:rFonts w:asciiTheme="majorHAnsi" w:hAnsiTheme="majorHAnsi"/>
                <w:sz w:val="18"/>
                <w:szCs w:val="18"/>
              </w:rPr>
              <w:t>)</w:t>
            </w:r>
          </w:p>
          <w:p w:rsidR="00F3616C" w:rsidRPr="001001E6" w:rsidRDefault="00F3616C" w:rsidP="00F3616C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>Feature Utama :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Plasmacluster HD 7000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Powerful Jetstream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New AG+ Air Purifying Filter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Gentle Coanda Air Flow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Four Way Auto Swing Louver, Auto Restart Function &amp; Auto Rust Evaporator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Filter Sign &amp; Selft Cleaning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Remote Control with 24H clock mode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Three Years Warranty (compressor)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Low Wattage 1540 watt</w:t>
            </w:r>
          </w:p>
          <w:p w:rsidR="00096004" w:rsidRPr="001001E6" w:rsidRDefault="00096004" w:rsidP="005168D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96004" w:rsidRPr="006D0E38" w:rsidRDefault="00F3616C" w:rsidP="00870196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096004" w:rsidRPr="006D0E38" w:rsidRDefault="00F3616C" w:rsidP="0087019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Unit</w:t>
            </w:r>
          </w:p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F3616C" w:rsidRPr="006D0E38" w:rsidTr="006D0E38">
        <w:tc>
          <w:tcPr>
            <w:tcW w:w="567" w:type="dxa"/>
          </w:tcPr>
          <w:p w:rsidR="00F3616C" w:rsidRPr="001001E6" w:rsidRDefault="00F3616C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17" w:type="dxa"/>
          </w:tcPr>
          <w:p w:rsidR="00F3616C" w:rsidRPr="001001E6" w:rsidRDefault="00F3616C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Lemari Arsip</w:t>
            </w:r>
          </w:p>
        </w:tc>
        <w:tc>
          <w:tcPr>
            <w:tcW w:w="3969" w:type="dxa"/>
          </w:tcPr>
          <w:p w:rsidR="008B4322" w:rsidRPr="001001E6" w:rsidRDefault="008B4322" w:rsidP="008B4322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>Lemari Arsip 2 Pintu Tinggi (3 Rak)</w:t>
            </w:r>
          </w:p>
          <w:p w:rsidR="008B4322" w:rsidRPr="001001E6" w:rsidRDefault="008B4322" w:rsidP="008B4322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>Ukuran : 183 H x 88 W x 40 D cm</w:t>
            </w:r>
          </w:p>
          <w:p w:rsidR="00F3616C" w:rsidRPr="001001E6" w:rsidRDefault="008B4322" w:rsidP="008B4322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noProof/>
                <w:sz w:val="18"/>
                <w:szCs w:val="18"/>
              </w:rPr>
              <w:t xml:space="preserve"> </w:t>
            </w:r>
            <w:r w:rsidR="003012AF" w:rsidRPr="001001E6">
              <w:rPr>
                <w:rFonts w:asciiTheme="majorHAnsi" w:hAnsiTheme="majorHAnsi"/>
                <w:noProof/>
                <w:sz w:val="18"/>
                <w:szCs w:val="18"/>
                <w:lang w:val="id-ID" w:eastAsia="id-ID"/>
              </w:rPr>
              <w:drawing>
                <wp:inline distT="0" distB="0" distL="0" distR="0" wp14:anchorId="7311BD55" wp14:editId="0A99506E">
                  <wp:extent cx="2143125" cy="2143125"/>
                  <wp:effectExtent l="19050" t="0" r="9525" b="0"/>
                  <wp:docPr id="1" name="Picture 1" descr="Lemari Arsip Brother B-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mari Arsip Brother B-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nil"/>
            </w:tcBorders>
          </w:tcPr>
          <w:p w:rsidR="00F3616C" w:rsidRDefault="00F3616C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F3616C" w:rsidRDefault="00F3616C" w:rsidP="0087019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61" w:type="dxa"/>
          </w:tcPr>
          <w:p w:rsidR="00F3616C" w:rsidRPr="006D0E38" w:rsidRDefault="00F3616C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F3616C" w:rsidRPr="006D0E38" w:rsidRDefault="00F3616C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3012AF" w:rsidRPr="006D0E38" w:rsidTr="006D0E38">
        <w:tc>
          <w:tcPr>
            <w:tcW w:w="567" w:type="dxa"/>
          </w:tcPr>
          <w:p w:rsidR="003012AF" w:rsidRPr="001001E6" w:rsidRDefault="003012AF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17" w:type="dxa"/>
          </w:tcPr>
          <w:p w:rsidR="003012AF" w:rsidRPr="001001E6" w:rsidRDefault="003012AF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telescope</w:t>
            </w:r>
          </w:p>
        </w:tc>
        <w:tc>
          <w:tcPr>
            <w:tcW w:w="3969" w:type="dxa"/>
          </w:tcPr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Weight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59 lbs.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Recommended Usage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Astrophotography , Viewing Galaxies/Star Clusters , Viewing Nebulae , Viewing the Moon , Viewing the Planets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Warranty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2-Year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Features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Equatorial Mount , GoTo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Brand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Celestron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Finderscope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6x30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GPS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No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GoTo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Yes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Good for Astrophotography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Yes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Telescopes Series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Celestron Advanced VX Telescopes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Optical Design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Schmidt-Cassegrain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Aperture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203mm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Focal Length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2032mm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Focal Ratio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f/10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Mount Design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Equatorial Mount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Eyepiece 1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20mm (102x)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Highest Useful Magnification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480x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User Level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For the Enthusiast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Object Database</w:t>
            </w:r>
          </w:p>
          <w:p w:rsidR="009432BA" w:rsidRPr="001001E6" w:rsidRDefault="009432BA" w:rsidP="009C7B05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>40000</w:t>
            </w:r>
          </w:p>
          <w:p w:rsidR="009C7B05" w:rsidRPr="001001E6" w:rsidRDefault="009C7B05" w:rsidP="009C7B05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>Plus perlengkapan</w:t>
            </w:r>
            <w:r w:rsidR="001763A7" w:rsidRPr="001001E6">
              <w:rPr>
                <w:rFonts w:asciiTheme="majorHAnsi" w:hAnsiTheme="majorHAnsi"/>
                <w:sz w:val="18"/>
                <w:szCs w:val="18"/>
              </w:rPr>
              <w:t>nya</w:t>
            </w:r>
            <w:r w:rsidRPr="001001E6">
              <w:rPr>
                <w:rFonts w:asciiTheme="majorHAnsi" w:hAnsiTheme="majorHAnsi"/>
                <w:sz w:val="18"/>
                <w:szCs w:val="18"/>
              </w:rPr>
              <w:t xml:space="preserve"> (Adapter, Kabel Penghubung ke PC dan CD / Master Program)</w:t>
            </w:r>
          </w:p>
          <w:p w:rsidR="003012AF" w:rsidRPr="001001E6" w:rsidRDefault="003012AF" w:rsidP="003012AF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3012AF" w:rsidRDefault="009432BA" w:rsidP="00870196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1</w:t>
            </w:r>
          </w:p>
        </w:tc>
        <w:tc>
          <w:tcPr>
            <w:tcW w:w="993" w:type="dxa"/>
            <w:tcBorders>
              <w:left w:val="nil"/>
            </w:tcBorders>
          </w:tcPr>
          <w:p w:rsidR="003012AF" w:rsidRDefault="009C7B05" w:rsidP="0087019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PKT</w:t>
            </w:r>
          </w:p>
        </w:tc>
        <w:tc>
          <w:tcPr>
            <w:tcW w:w="1361" w:type="dxa"/>
          </w:tcPr>
          <w:p w:rsidR="003012AF" w:rsidRPr="006D0E38" w:rsidRDefault="003012AF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3012AF" w:rsidRPr="006D0E38" w:rsidRDefault="003012AF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7713" w:type="dxa"/>
            <w:gridSpan w:val="5"/>
          </w:tcPr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10492" w:type="dxa"/>
            <w:gridSpan w:val="7"/>
          </w:tcPr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</w:tr>
    </w:tbl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</w:rPr>
      </w:pP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NB : </w:t>
      </w: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i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* </w:t>
      </w:r>
      <w:r w:rsidRPr="006D0E38">
        <w:rPr>
          <w:rFonts w:ascii="Arial Narrow" w:hAnsi="Arial Narrow"/>
          <w:i/>
          <w:lang w:val="id-ID"/>
        </w:rPr>
        <w:t>Harga sudah termasuk Pajak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  <w:r w:rsidRPr="006D0E38">
        <w:rPr>
          <w:rFonts w:ascii="Arial Narrow" w:hAnsi="Arial Narrow"/>
          <w:i/>
          <w:lang w:val="id-ID"/>
        </w:rPr>
        <w:t xml:space="preserve">* </w:t>
      </w:r>
      <w:r w:rsidRPr="006D0E38">
        <w:rPr>
          <w:rFonts w:ascii="Arial Narrow" w:hAnsi="Arial Narrow" w:cstheme="minorHAnsi"/>
          <w:i/>
          <w:lang w:val="id-ID"/>
        </w:rPr>
        <w:t>Mohon dicantumkan spesifikasi lengkap</w:t>
      </w:r>
    </w:p>
    <w:p w:rsidR="00096004" w:rsidRPr="006D0E38" w:rsidRDefault="00096004" w:rsidP="00096004">
      <w:pPr>
        <w:ind w:left="5760"/>
        <w:rPr>
          <w:rFonts w:ascii="Arial Narrow" w:hAnsi="Arial Narrow"/>
          <w:b/>
          <w:bCs/>
        </w:rPr>
      </w:pPr>
    </w:p>
    <w:p w:rsidR="00096004" w:rsidRPr="006D0E38" w:rsidRDefault="00096004" w:rsidP="00520EA6">
      <w:pPr>
        <w:ind w:left="5812"/>
        <w:rPr>
          <w:rFonts w:ascii="Arial Narrow" w:hAnsi="Arial Narrow"/>
        </w:rPr>
      </w:pPr>
      <w:r w:rsidRPr="006D0E38">
        <w:rPr>
          <w:rFonts w:ascii="Arial Narrow" w:hAnsi="Arial Narrow"/>
        </w:rPr>
        <w:t>Pejabat Pembuat Komitmen,</w:t>
      </w:r>
    </w:p>
    <w:p w:rsidR="00096004" w:rsidRPr="006D0E38" w:rsidRDefault="00096004" w:rsidP="00352AB2">
      <w:pPr>
        <w:ind w:left="5760"/>
        <w:rPr>
          <w:rFonts w:ascii="Arial Narrow" w:hAnsi="Arial Narrow"/>
        </w:rPr>
      </w:pPr>
    </w:p>
    <w:p w:rsidR="00352AB2" w:rsidRPr="006D0E38" w:rsidRDefault="00352AB2" w:rsidP="00096004">
      <w:pPr>
        <w:ind w:left="5760"/>
        <w:rPr>
          <w:rFonts w:ascii="Arial Narrow" w:hAnsi="Arial Narrow"/>
        </w:rPr>
      </w:pPr>
    </w:p>
    <w:p w:rsidR="00023A32" w:rsidRPr="006D3168" w:rsidRDefault="00023A32" w:rsidP="00023A32">
      <w:pPr>
        <w:tabs>
          <w:tab w:val="left" w:pos="-1530"/>
        </w:tabs>
        <w:ind w:left="5812"/>
        <w:rPr>
          <w:rFonts w:ascii="Arial Narrow" w:hAnsi="Arial Narrow"/>
          <w:lang w:val="sv-SE"/>
        </w:rPr>
      </w:pPr>
      <w:r w:rsidRPr="006D3168">
        <w:rPr>
          <w:rFonts w:ascii="Arial Narrow" w:hAnsi="Arial Narrow"/>
          <w:lang w:val="sv-SE"/>
        </w:rPr>
        <w:t>Dr. H. Saifullah, SH., M.Hum</w:t>
      </w:r>
    </w:p>
    <w:p w:rsidR="006B172A" w:rsidRPr="006D0E38" w:rsidRDefault="00023A32" w:rsidP="00520EA6">
      <w:pPr>
        <w:ind w:left="5812"/>
        <w:rPr>
          <w:rFonts w:ascii="Arial Narrow" w:hAnsi="Arial Narrow"/>
          <w:lang w:val="sv-SE"/>
        </w:rPr>
      </w:pPr>
      <w:r w:rsidRPr="006D0E38">
        <w:rPr>
          <w:rFonts w:ascii="Arial Narrow" w:hAnsi="Arial Narrow"/>
          <w:lang w:val="sv-SE"/>
        </w:rPr>
        <w:t>NIP 196512052000031001</w:t>
      </w:r>
    </w:p>
    <w:sectPr w:rsidR="006B172A" w:rsidRPr="006D0E38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5305"/>
    <w:multiLevelType w:val="hybridMultilevel"/>
    <w:tmpl w:val="EBDC1F78"/>
    <w:lvl w:ilvl="0" w:tplc="56FA0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172A"/>
    <w:rsid w:val="00023A32"/>
    <w:rsid w:val="00023D91"/>
    <w:rsid w:val="0003220F"/>
    <w:rsid w:val="000515BA"/>
    <w:rsid w:val="00074FD4"/>
    <w:rsid w:val="00096004"/>
    <w:rsid w:val="000C0043"/>
    <w:rsid w:val="001001E6"/>
    <w:rsid w:val="00123B0C"/>
    <w:rsid w:val="00162DAA"/>
    <w:rsid w:val="001763A7"/>
    <w:rsid w:val="001A7379"/>
    <w:rsid w:val="001E708D"/>
    <w:rsid w:val="002139B8"/>
    <w:rsid w:val="002346F9"/>
    <w:rsid w:val="00250FEE"/>
    <w:rsid w:val="00270DA2"/>
    <w:rsid w:val="002A2F00"/>
    <w:rsid w:val="002D0028"/>
    <w:rsid w:val="002D2D0D"/>
    <w:rsid w:val="003012AF"/>
    <w:rsid w:val="00352AB2"/>
    <w:rsid w:val="00364093"/>
    <w:rsid w:val="003A593E"/>
    <w:rsid w:val="00425CE9"/>
    <w:rsid w:val="00444CD5"/>
    <w:rsid w:val="00486DF1"/>
    <w:rsid w:val="004A68DF"/>
    <w:rsid w:val="004C22CC"/>
    <w:rsid w:val="004E6815"/>
    <w:rsid w:val="00503060"/>
    <w:rsid w:val="00504B32"/>
    <w:rsid w:val="005168D8"/>
    <w:rsid w:val="00520EA6"/>
    <w:rsid w:val="00532E44"/>
    <w:rsid w:val="005357B8"/>
    <w:rsid w:val="005B6CDD"/>
    <w:rsid w:val="005D261B"/>
    <w:rsid w:val="005D64FB"/>
    <w:rsid w:val="00632D62"/>
    <w:rsid w:val="006630AB"/>
    <w:rsid w:val="006802DE"/>
    <w:rsid w:val="006B172A"/>
    <w:rsid w:val="006D0E38"/>
    <w:rsid w:val="006D3168"/>
    <w:rsid w:val="00713567"/>
    <w:rsid w:val="007356AF"/>
    <w:rsid w:val="00760976"/>
    <w:rsid w:val="00760F37"/>
    <w:rsid w:val="007747C6"/>
    <w:rsid w:val="007A5786"/>
    <w:rsid w:val="00893216"/>
    <w:rsid w:val="008A0D0D"/>
    <w:rsid w:val="008B4322"/>
    <w:rsid w:val="009432BA"/>
    <w:rsid w:val="009A654F"/>
    <w:rsid w:val="009C7B05"/>
    <w:rsid w:val="009D23EC"/>
    <w:rsid w:val="009F2A3D"/>
    <w:rsid w:val="00A12480"/>
    <w:rsid w:val="00A519A2"/>
    <w:rsid w:val="00A822DB"/>
    <w:rsid w:val="00AF0E22"/>
    <w:rsid w:val="00B01041"/>
    <w:rsid w:val="00B24ADC"/>
    <w:rsid w:val="00B46F21"/>
    <w:rsid w:val="00CF2832"/>
    <w:rsid w:val="00D02027"/>
    <w:rsid w:val="00D34E53"/>
    <w:rsid w:val="00D375BB"/>
    <w:rsid w:val="00D844B6"/>
    <w:rsid w:val="00DD009A"/>
    <w:rsid w:val="00E84289"/>
    <w:rsid w:val="00ED0AB1"/>
    <w:rsid w:val="00F3616C"/>
    <w:rsid w:val="00F4013C"/>
    <w:rsid w:val="00F4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09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3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61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BC83E-B883-4B0F-A950-2569A842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ulp</cp:lastModifiedBy>
  <cp:revision>20</cp:revision>
  <cp:lastPrinted>2014-10-15T04:33:00Z</cp:lastPrinted>
  <dcterms:created xsi:type="dcterms:W3CDTF">2013-09-17T02:10:00Z</dcterms:created>
  <dcterms:modified xsi:type="dcterms:W3CDTF">2014-10-24T02:27:00Z</dcterms:modified>
</cp:coreProperties>
</file>