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/>
      </w:tblPr>
      <w:tblGrid>
        <w:gridCol w:w="1289"/>
        <w:gridCol w:w="7683"/>
      </w:tblGrid>
      <w:tr w:rsidR="00680208" w:rsidRPr="001107E8" w:rsidTr="001177FB">
        <w:trPr>
          <w:trHeight w:val="322"/>
          <w:jc w:val="center"/>
        </w:trPr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680208" w:rsidRPr="001107E8" w:rsidRDefault="00680208" w:rsidP="001177FB">
            <w:pPr>
              <w:jc w:val="center"/>
              <w:rPr>
                <w:rFonts w:asciiTheme="majorHAnsi" w:hAnsiTheme="majorHAnsi" w:cs="Tahoma"/>
                <w:sz w:val="18"/>
                <w:szCs w:val="14"/>
              </w:rPr>
            </w:pP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1107E8">
              <w:rPr>
                <w:rFonts w:asciiTheme="majorHAnsi" w:hAnsiTheme="majorHAnsi" w:cs="Tahoma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6280" cy="685800"/>
                  <wp:effectExtent l="19050" t="0" r="7620" b="0"/>
                  <wp:docPr id="4" name="Picture 5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tcBorders>
              <w:bottom w:val="double" w:sz="4" w:space="0" w:color="auto"/>
            </w:tcBorders>
          </w:tcPr>
          <w:p w:rsidR="00680208" w:rsidRPr="001107E8" w:rsidRDefault="00680208" w:rsidP="001177FB">
            <w:pPr>
              <w:jc w:val="center"/>
              <w:rPr>
                <w:rFonts w:asciiTheme="majorHAnsi" w:hAnsiTheme="majorHAnsi" w:cs="Tahoma"/>
                <w:b/>
                <w:bCs/>
                <w:spacing w:val="30"/>
                <w:lang w:val="id-ID"/>
              </w:rPr>
            </w:pPr>
            <w:r w:rsidRPr="001107E8">
              <w:rPr>
                <w:rFonts w:asciiTheme="majorHAnsi" w:hAnsiTheme="majorHAnsi" w:cs="Tahoma"/>
                <w:b/>
                <w:bCs/>
                <w:spacing w:val="30"/>
                <w:lang w:val="id-ID"/>
              </w:rPr>
              <w:t>KEMENTERIAN AGAMA</w:t>
            </w:r>
          </w:p>
          <w:p w:rsidR="00680208" w:rsidRPr="001107E8" w:rsidRDefault="00680208" w:rsidP="001177FB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w w:val="90"/>
                <w:sz w:val="18"/>
                <w:lang w:val="id-ID"/>
              </w:rPr>
            </w:pPr>
            <w:r w:rsidRPr="001107E8">
              <w:rPr>
                <w:rFonts w:asciiTheme="majorHAnsi" w:hAnsiTheme="majorHAnsi" w:cs="Tahoma"/>
                <w:b/>
                <w:bCs/>
                <w:w w:val="90"/>
                <w:sz w:val="24"/>
                <w:szCs w:val="26"/>
                <w:lang w:val="id-ID"/>
              </w:rPr>
              <w:t xml:space="preserve">UNIVERSITAS ISLAM NEGERI </w:t>
            </w:r>
            <w:r w:rsidRPr="001107E8">
              <w:rPr>
                <w:rFonts w:asciiTheme="majorHAnsi" w:hAnsiTheme="majorHAnsi" w:cs="Tahoma"/>
                <w:b/>
                <w:bCs/>
                <w:w w:val="90"/>
                <w:sz w:val="24"/>
                <w:szCs w:val="26"/>
              </w:rPr>
              <w:t xml:space="preserve">MAULANA MALIK IBRAHIM </w:t>
            </w:r>
            <w:r w:rsidRPr="001107E8">
              <w:rPr>
                <w:rFonts w:asciiTheme="majorHAnsi" w:hAnsiTheme="majorHAnsi" w:cs="Tahoma"/>
                <w:b/>
                <w:bCs/>
                <w:w w:val="90"/>
                <w:sz w:val="24"/>
                <w:szCs w:val="26"/>
                <w:lang w:val="id-ID"/>
              </w:rPr>
              <w:t>MALANG</w:t>
            </w:r>
          </w:p>
          <w:p w:rsidR="00680208" w:rsidRPr="001107E8" w:rsidRDefault="00680208" w:rsidP="001177FB">
            <w:pPr>
              <w:jc w:val="center"/>
              <w:rPr>
                <w:rFonts w:asciiTheme="majorHAnsi" w:hAnsiTheme="majorHAnsi" w:cs="Tahoma"/>
                <w:sz w:val="18"/>
                <w:szCs w:val="16"/>
                <w:lang w:val="id-ID"/>
              </w:rPr>
            </w:pPr>
            <w:r w:rsidRPr="001107E8">
              <w:rPr>
                <w:rFonts w:asciiTheme="majorHAnsi" w:hAnsiTheme="majorHAnsi" w:cs="Tahoma"/>
                <w:szCs w:val="16"/>
                <w:lang w:val="id-ID"/>
              </w:rPr>
              <w:t>Jalan Gajayana 50, Malang 65144 Telepon (0341) 551354 Faksimile (0341) 572533</w:t>
            </w:r>
          </w:p>
          <w:p w:rsidR="00680208" w:rsidRPr="001107E8" w:rsidRDefault="00680208" w:rsidP="001177FB">
            <w:pPr>
              <w:spacing w:after="120"/>
              <w:jc w:val="center"/>
              <w:rPr>
                <w:rFonts w:asciiTheme="majorHAnsi" w:hAnsiTheme="majorHAnsi" w:cs="Tahoma"/>
                <w:b/>
                <w:bCs/>
                <w:lang w:val="id-ID"/>
              </w:rPr>
            </w:pPr>
            <w:r w:rsidRPr="001107E8">
              <w:rPr>
                <w:rFonts w:asciiTheme="majorHAnsi" w:hAnsiTheme="majorHAnsi" w:cs="Tahoma"/>
                <w:lang w:val="id-ID"/>
              </w:rPr>
              <w:t xml:space="preserve">Website: </w:t>
            </w:r>
            <w:hyperlink r:id="rId6" w:history="1">
              <w:r w:rsidRPr="001107E8">
                <w:rPr>
                  <w:rStyle w:val="Hyperlink"/>
                  <w:rFonts w:asciiTheme="majorHAnsi" w:hAnsiTheme="majorHAnsi" w:cs="Tahoma"/>
                  <w:lang w:val="id-ID"/>
                </w:rPr>
                <w:t>www.uin-malang.ac.id</w:t>
              </w:r>
            </w:hyperlink>
            <w:r w:rsidRPr="001107E8">
              <w:rPr>
                <w:rFonts w:asciiTheme="majorHAnsi" w:hAnsiTheme="majorHAnsi" w:cs="Tahoma"/>
                <w:lang w:val="id-ID"/>
              </w:rPr>
              <w:t xml:space="preserve"> E-mail: </w:t>
            </w:r>
            <w:hyperlink r:id="rId7" w:history="1">
              <w:r w:rsidRPr="001107E8">
                <w:rPr>
                  <w:rStyle w:val="Hyperlink"/>
                  <w:rFonts w:asciiTheme="majorHAnsi" w:hAnsiTheme="majorHAnsi" w:cs="Tahoma"/>
                  <w:lang w:val="id-ID"/>
                </w:rPr>
                <w:t>info@uin-malang.ac.id</w:t>
              </w:r>
            </w:hyperlink>
          </w:p>
        </w:tc>
      </w:tr>
    </w:tbl>
    <w:p w:rsidR="00680208" w:rsidRPr="001107E8" w:rsidRDefault="00680208" w:rsidP="00680208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</w:p>
    <w:p w:rsidR="00680208" w:rsidRPr="001107E8" w:rsidRDefault="00680208" w:rsidP="00680208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b/>
          <w:sz w:val="28"/>
          <w:szCs w:val="28"/>
          <w:lang w:val="id-ID"/>
        </w:rPr>
      </w:pPr>
      <w:r w:rsidRPr="001107E8">
        <w:rPr>
          <w:rFonts w:asciiTheme="majorHAnsi" w:hAnsiTheme="majorHAnsi" w:cs="Tahoma"/>
          <w:b/>
          <w:sz w:val="28"/>
          <w:szCs w:val="28"/>
          <w:lang w:val="pt-BR"/>
        </w:rPr>
        <w:t>PENGUMUMAN PEMILIHAN LANGSUNG</w:t>
      </w:r>
    </w:p>
    <w:p w:rsidR="00680208" w:rsidRPr="001107E8" w:rsidRDefault="00680208" w:rsidP="00680208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b/>
          <w:sz w:val="28"/>
          <w:szCs w:val="28"/>
          <w:lang w:val="pt-BR"/>
        </w:rPr>
      </w:pPr>
      <w:r w:rsidRPr="001107E8">
        <w:rPr>
          <w:rFonts w:asciiTheme="majorHAnsi" w:hAnsiTheme="majorHAnsi" w:cs="Tahoma"/>
          <w:b/>
          <w:sz w:val="28"/>
          <w:szCs w:val="28"/>
          <w:lang w:val="id-ID"/>
        </w:rPr>
        <w:t>DENGAN</w:t>
      </w:r>
      <w:r w:rsidRPr="001107E8">
        <w:rPr>
          <w:rFonts w:asciiTheme="majorHAnsi" w:hAnsiTheme="majorHAnsi" w:cs="Tahoma"/>
          <w:b/>
          <w:sz w:val="28"/>
          <w:szCs w:val="28"/>
          <w:lang w:val="pt-BR"/>
        </w:rPr>
        <w:t xml:space="preserve"> PASCAKUALIFIKASI</w:t>
      </w:r>
    </w:p>
    <w:p w:rsidR="00680208" w:rsidRPr="001107E8" w:rsidRDefault="00680208" w:rsidP="00680208">
      <w:pPr>
        <w:autoSpaceDE w:val="0"/>
        <w:autoSpaceDN w:val="0"/>
        <w:adjustRightInd w:val="0"/>
        <w:spacing w:before="120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  <w:r w:rsidRPr="001107E8">
        <w:rPr>
          <w:rFonts w:asciiTheme="majorHAnsi" w:hAnsiTheme="majorHAnsi" w:cs="Tahoma"/>
          <w:sz w:val="24"/>
          <w:szCs w:val="24"/>
          <w:lang w:val="pt-BR"/>
        </w:rPr>
        <w:t>Nomor: Un.03/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>KS.01.1/</w:t>
      </w:r>
      <w:r>
        <w:rPr>
          <w:rFonts w:asciiTheme="majorHAnsi" w:hAnsiTheme="majorHAnsi" w:cs="Tahoma"/>
          <w:sz w:val="24"/>
          <w:szCs w:val="24"/>
          <w:lang w:val="id-ID"/>
        </w:rPr>
        <w:t>4062</w:t>
      </w:r>
      <w:r w:rsidRPr="001107E8">
        <w:rPr>
          <w:rFonts w:asciiTheme="majorHAnsi" w:hAnsiTheme="majorHAnsi" w:cs="Tahoma"/>
          <w:sz w:val="24"/>
          <w:szCs w:val="24"/>
          <w:lang w:val="pt-BR"/>
        </w:rPr>
        <w:t>/2014</w:t>
      </w:r>
    </w:p>
    <w:p w:rsidR="00680208" w:rsidRPr="001107E8" w:rsidRDefault="00680208" w:rsidP="00680208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</w:p>
    <w:p w:rsidR="00680208" w:rsidRPr="001107E8" w:rsidRDefault="00680208" w:rsidP="00680208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  <w:lang w:val="pt-BR"/>
        </w:rPr>
      </w:pP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Panitia Pengadaan Barang dan Jasa UIN Maulana Malik Ibrahim Malang Tahun Anggaran </w:t>
      </w:r>
      <w:r w:rsidRPr="001107E8">
        <w:rPr>
          <w:rFonts w:asciiTheme="majorHAnsi" w:hAnsiTheme="majorHAnsi" w:cs="Tahoma"/>
          <w:sz w:val="24"/>
          <w:szCs w:val="24"/>
          <w:lang w:val="pt-BR"/>
        </w:rPr>
        <w:t>2014akan melaksanakan Pemilihan Langsung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 dengan pascakualifikasi</w:t>
      </w:r>
      <w:r w:rsidRPr="001107E8">
        <w:rPr>
          <w:rFonts w:asciiTheme="majorHAnsi" w:hAnsiTheme="majorHAnsi" w:cs="Tahoma"/>
          <w:sz w:val="24"/>
          <w:szCs w:val="24"/>
          <w:lang w:val="pt-BR"/>
        </w:rPr>
        <w:t xml:space="preserve"> secara elektronik untuk paket pekerjaan pengadaan barang sebagai berikut:</w:t>
      </w:r>
    </w:p>
    <w:p w:rsidR="00680208" w:rsidRPr="001107E8" w:rsidRDefault="00680208" w:rsidP="00680208">
      <w:pPr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  <w:lang w:val="pt-BR"/>
        </w:rPr>
      </w:pPr>
    </w:p>
    <w:p w:rsidR="00680208" w:rsidRPr="001107E8" w:rsidRDefault="00680208" w:rsidP="00680208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nl-NL"/>
        </w:rPr>
      </w:pPr>
      <w:r w:rsidRPr="001107E8">
        <w:rPr>
          <w:rFonts w:asciiTheme="majorHAnsi" w:hAnsiTheme="majorHAnsi" w:cs="Tahoma"/>
          <w:b/>
          <w:sz w:val="24"/>
          <w:szCs w:val="24"/>
          <w:lang w:val="nl-NL"/>
        </w:rPr>
        <w:t>Paket Pekerjaan</w:t>
      </w:r>
    </w:p>
    <w:p w:rsidR="00680208" w:rsidRPr="001107E8" w:rsidRDefault="00680208" w:rsidP="00680208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  <w:lang w:val="id-ID"/>
        </w:rPr>
      </w:pPr>
      <w:r w:rsidRPr="001107E8">
        <w:rPr>
          <w:rFonts w:asciiTheme="majorHAnsi" w:hAnsiTheme="majorHAnsi" w:cs="Tahoma"/>
          <w:sz w:val="24"/>
          <w:szCs w:val="24"/>
          <w:lang w:val="sv-SE"/>
        </w:rPr>
        <w:t>Nama paket pekerjaan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ab/>
      </w:r>
      <w:r w:rsidRPr="001107E8">
        <w:rPr>
          <w:rFonts w:asciiTheme="majorHAnsi" w:hAnsiTheme="majorHAnsi" w:cs="Tahoma"/>
          <w:sz w:val="24"/>
          <w:szCs w:val="24"/>
          <w:lang w:val="sv-SE"/>
        </w:rPr>
        <w:t>: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ab/>
      </w:r>
      <w:r w:rsidRPr="001107E8">
        <w:rPr>
          <w:rFonts w:asciiTheme="majorHAnsi" w:hAnsiTheme="majorHAnsi" w:cs="Tahoma"/>
          <w:sz w:val="24"/>
          <w:szCs w:val="24"/>
        </w:rPr>
        <w:t xml:space="preserve">Pembangunan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Pagar</w:t>
      </w:r>
      <w:proofErr w:type="spellEnd"/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 UIN Maulana Malik Ibrahim Malang</w:t>
      </w:r>
    </w:p>
    <w:p w:rsidR="00680208" w:rsidRPr="001107E8" w:rsidRDefault="00680208" w:rsidP="00680208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</w:rPr>
      </w:pPr>
      <w:r w:rsidRPr="001107E8">
        <w:rPr>
          <w:rFonts w:asciiTheme="majorHAnsi" w:hAnsiTheme="majorHAnsi" w:cs="Tahoma"/>
          <w:sz w:val="24"/>
          <w:szCs w:val="24"/>
          <w:lang w:val="id-ID"/>
        </w:rPr>
        <w:t>Lingkup pekerjaan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ab/>
        <w:t>: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ab/>
        <w:t xml:space="preserve">Pengadaan Pekerjaan </w:t>
      </w:r>
      <w:r w:rsidRPr="001107E8">
        <w:rPr>
          <w:rFonts w:asciiTheme="majorHAnsi" w:hAnsiTheme="majorHAnsi" w:cs="Tahoma"/>
          <w:sz w:val="24"/>
          <w:szCs w:val="24"/>
        </w:rPr>
        <w:t xml:space="preserve">Pembangunan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Pagar</w:t>
      </w:r>
      <w:proofErr w:type="spellEnd"/>
    </w:p>
    <w:p w:rsidR="00680208" w:rsidRPr="001107E8" w:rsidRDefault="00680208" w:rsidP="00680208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  <w:lang w:val="sv-SE"/>
        </w:rPr>
      </w:pPr>
      <w:r w:rsidRPr="001107E8">
        <w:rPr>
          <w:rFonts w:asciiTheme="majorHAnsi" w:hAnsiTheme="majorHAnsi" w:cs="Tahoma"/>
          <w:sz w:val="24"/>
          <w:szCs w:val="24"/>
          <w:lang w:val="sv-SE"/>
        </w:rPr>
        <w:t>Nilai total HPS</w:t>
      </w:r>
      <w:r w:rsidRPr="001107E8">
        <w:rPr>
          <w:rFonts w:asciiTheme="majorHAnsi" w:hAnsiTheme="majorHAnsi" w:cs="Tahoma"/>
          <w:sz w:val="24"/>
          <w:szCs w:val="24"/>
          <w:lang w:val="sv-SE"/>
        </w:rPr>
        <w:tab/>
        <w:t>:</w:t>
      </w:r>
      <w:r w:rsidRPr="001107E8">
        <w:rPr>
          <w:rFonts w:asciiTheme="majorHAnsi" w:hAnsiTheme="majorHAnsi" w:cs="Tahoma"/>
          <w:sz w:val="24"/>
          <w:szCs w:val="24"/>
          <w:lang w:val="sv-SE"/>
        </w:rPr>
        <w:tab/>
        <w:t xml:space="preserve">Rp. 329.970.000,0 (Tiga Ratus Dua Puluh Sembilan Juta Sembilan Ratus Tujuh Puluh Ribu Rupiah) </w:t>
      </w:r>
    </w:p>
    <w:p w:rsidR="00680208" w:rsidRPr="001107E8" w:rsidRDefault="00680208" w:rsidP="00680208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</w:rPr>
      </w:pPr>
      <w:r w:rsidRPr="001107E8">
        <w:rPr>
          <w:rFonts w:asciiTheme="majorHAnsi" w:hAnsiTheme="majorHAnsi" w:cs="Tahoma"/>
          <w:sz w:val="24"/>
          <w:szCs w:val="24"/>
          <w:lang w:val="sv-SE"/>
        </w:rPr>
        <w:t>Sumber</w:t>
      </w:r>
      <w:r w:rsidRPr="001107E8">
        <w:rPr>
          <w:rFonts w:asciiTheme="majorHAnsi" w:hAnsiTheme="majorHAnsi" w:cs="Tahoma"/>
          <w:sz w:val="24"/>
          <w:szCs w:val="24"/>
          <w:lang w:val="nl-NL"/>
        </w:rPr>
        <w:t xml:space="preserve"> pendanaan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ab/>
      </w:r>
      <w:r w:rsidRPr="001107E8">
        <w:rPr>
          <w:rFonts w:asciiTheme="majorHAnsi" w:hAnsiTheme="majorHAnsi" w:cs="Tahoma"/>
          <w:sz w:val="24"/>
          <w:szCs w:val="24"/>
          <w:lang w:val="nl-NL"/>
        </w:rPr>
        <w:t>: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ab/>
        <w:t xml:space="preserve">DIPA APBN UIN Maulana Malik Ibrahim Malang </w:t>
      </w:r>
      <w:r w:rsidRPr="001107E8">
        <w:rPr>
          <w:rFonts w:asciiTheme="majorHAnsi" w:hAnsiTheme="majorHAnsi" w:cs="Tahoma"/>
          <w:sz w:val="24"/>
          <w:szCs w:val="24"/>
          <w:lang w:val="nl-NL"/>
        </w:rPr>
        <w:t xml:space="preserve">Tahun Anggaran </w:t>
      </w:r>
      <w:r w:rsidRPr="001107E8">
        <w:rPr>
          <w:rFonts w:asciiTheme="majorHAnsi" w:hAnsiTheme="majorHAnsi" w:cs="Tahoma"/>
          <w:sz w:val="24"/>
          <w:szCs w:val="24"/>
        </w:rPr>
        <w:t>2014</w:t>
      </w:r>
    </w:p>
    <w:p w:rsidR="00680208" w:rsidRDefault="00680208" w:rsidP="00680208">
      <w:pPr>
        <w:tabs>
          <w:tab w:val="left" w:pos="3060"/>
          <w:tab w:val="left" w:pos="3420"/>
        </w:tabs>
        <w:autoSpaceDE w:val="0"/>
        <w:autoSpaceDN w:val="0"/>
        <w:adjustRightInd w:val="0"/>
        <w:ind w:left="3261" w:hanging="2977"/>
        <w:rPr>
          <w:rFonts w:asciiTheme="majorHAnsi" w:hAnsiTheme="majorHAnsi" w:cs="Tahoma"/>
          <w:color w:val="FF0000"/>
          <w:sz w:val="24"/>
          <w:szCs w:val="24"/>
          <w:lang w:val="sv-SE"/>
        </w:rPr>
      </w:pPr>
    </w:p>
    <w:p w:rsidR="00680208" w:rsidRPr="001107E8" w:rsidRDefault="00680208" w:rsidP="00680208">
      <w:pPr>
        <w:tabs>
          <w:tab w:val="left" w:pos="3060"/>
          <w:tab w:val="left" w:pos="3420"/>
        </w:tabs>
        <w:autoSpaceDE w:val="0"/>
        <w:autoSpaceDN w:val="0"/>
        <w:adjustRightInd w:val="0"/>
        <w:ind w:left="3261" w:hanging="2977"/>
        <w:rPr>
          <w:rFonts w:asciiTheme="majorHAnsi" w:hAnsiTheme="majorHAnsi" w:cs="Tahoma"/>
          <w:color w:val="FF0000"/>
          <w:sz w:val="24"/>
          <w:szCs w:val="24"/>
          <w:lang w:val="sv-SE"/>
        </w:rPr>
      </w:pPr>
    </w:p>
    <w:p w:rsidR="00680208" w:rsidRPr="001107E8" w:rsidRDefault="00680208" w:rsidP="00680208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sv-SE"/>
        </w:rPr>
      </w:pPr>
      <w:r w:rsidRPr="001107E8">
        <w:rPr>
          <w:rFonts w:asciiTheme="majorHAnsi" w:hAnsiTheme="majorHAnsi" w:cs="Tahoma"/>
          <w:b/>
          <w:sz w:val="24"/>
          <w:szCs w:val="24"/>
          <w:lang w:val="sv-SE"/>
        </w:rPr>
        <w:t>Persyaratan Peserta</w:t>
      </w:r>
    </w:p>
    <w:p w:rsidR="00680208" w:rsidRPr="001107E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color w:val="000000"/>
          <w:sz w:val="24"/>
          <w:szCs w:val="24"/>
          <w:lang w:val="sv-SE"/>
        </w:rPr>
      </w:pPr>
      <w:r w:rsidRPr="001107E8">
        <w:rPr>
          <w:rFonts w:asciiTheme="majorHAnsi" w:hAnsiTheme="majorHAnsi" w:cs="Tahoma"/>
          <w:color w:val="000000"/>
          <w:sz w:val="24"/>
          <w:szCs w:val="24"/>
          <w:lang w:val="sv-SE"/>
        </w:rPr>
        <w:t>peserta harus memiliki Surat Izin Usaha</w:t>
      </w:r>
      <w:r w:rsidRPr="001107E8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 xml:space="preserve"> Jasa Konstruksi (IUJK) </w:t>
      </w:r>
      <w:r w:rsidRPr="001107E8">
        <w:rPr>
          <w:rFonts w:asciiTheme="majorHAnsi" w:hAnsiTheme="majorHAnsi" w:cs="Tahoma"/>
          <w:color w:val="000000"/>
          <w:sz w:val="24"/>
          <w:szCs w:val="24"/>
          <w:lang w:val="sv-SE"/>
        </w:rPr>
        <w:t xml:space="preserve">yang diterbitkan oleh Pemerintah Kabupaten / Kota tempat domisili peserta pengadaan, dan masih berlaku atau dinyatakan masih berlaku oleh peraturan perundang-undangan/telah teregistrasi ulang, dengan klasifikasi  Bidang : </w:t>
      </w:r>
      <w:r w:rsidRPr="00B651F2">
        <w:rPr>
          <w:rFonts w:asciiTheme="majorHAnsi" w:hAnsiTheme="majorHAnsi" w:cs="Tahoma"/>
          <w:color w:val="000000"/>
          <w:sz w:val="24"/>
          <w:szCs w:val="24"/>
          <w:lang w:val="sv-SE"/>
        </w:rPr>
        <w:t>Bangunan Gedung</w:t>
      </w:r>
    </w:p>
    <w:p w:rsidR="00680208" w:rsidRPr="001107E8" w:rsidRDefault="00680208" w:rsidP="00680208">
      <w:pPr>
        <w:tabs>
          <w:tab w:val="left" w:pos="343"/>
        </w:tabs>
        <w:autoSpaceDE w:val="0"/>
        <w:autoSpaceDN w:val="0"/>
        <w:adjustRightInd w:val="0"/>
        <w:ind w:left="343" w:right="34"/>
        <w:rPr>
          <w:rFonts w:asciiTheme="majorHAnsi" w:hAnsiTheme="majorHAnsi" w:cs="Tahoma"/>
          <w:color w:val="000000"/>
          <w:sz w:val="24"/>
          <w:szCs w:val="24"/>
        </w:rPr>
      </w:pPr>
      <w:proofErr w:type="spellStart"/>
      <w:proofErr w:type="gramStart"/>
      <w:r w:rsidRPr="001107E8">
        <w:rPr>
          <w:rFonts w:asciiTheme="majorHAnsi" w:hAnsiTheme="majorHAnsi" w:cs="Tahoma"/>
          <w:color w:val="000000"/>
          <w:sz w:val="24"/>
          <w:szCs w:val="24"/>
        </w:rPr>
        <w:t>dan</w:t>
      </w:r>
      <w:proofErr w:type="spellEnd"/>
      <w:proofErr w:type="gramEnd"/>
      <w:r w:rsidRPr="001107E8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color w:val="000000"/>
          <w:sz w:val="24"/>
          <w:szCs w:val="24"/>
        </w:rPr>
        <w:t>surat</w:t>
      </w:r>
      <w:proofErr w:type="spellEnd"/>
      <w:r w:rsidRPr="001107E8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color w:val="000000"/>
          <w:sz w:val="24"/>
          <w:szCs w:val="24"/>
        </w:rPr>
        <w:t>izin</w:t>
      </w:r>
      <w:proofErr w:type="spellEnd"/>
      <w:r w:rsidRPr="001107E8">
        <w:rPr>
          <w:rFonts w:asciiTheme="majorHAnsi" w:hAnsiTheme="majorHAnsi" w:cs="Tahoma"/>
          <w:color w:val="000000"/>
          <w:sz w:val="24"/>
          <w:szCs w:val="24"/>
        </w:rPr>
        <w:t xml:space="preserve"> lain, </w:t>
      </w:r>
      <w:proofErr w:type="spellStart"/>
      <w:r w:rsidRPr="001107E8">
        <w:rPr>
          <w:rFonts w:asciiTheme="majorHAnsi" w:hAnsiTheme="majorHAnsi" w:cs="Tahoma"/>
          <w:color w:val="000000"/>
          <w:sz w:val="24"/>
          <w:szCs w:val="24"/>
        </w:rPr>
        <w:t>yaitu</w:t>
      </w:r>
      <w:proofErr w:type="spellEnd"/>
      <w:r w:rsidRPr="001107E8">
        <w:rPr>
          <w:rFonts w:asciiTheme="majorHAnsi" w:hAnsiTheme="majorHAnsi" w:cs="Tahoma"/>
          <w:color w:val="000000"/>
          <w:sz w:val="24"/>
          <w:szCs w:val="24"/>
        </w:rPr>
        <w:t xml:space="preserve"> :</w:t>
      </w:r>
    </w:p>
    <w:p w:rsidR="00680208" w:rsidRPr="001107E8" w:rsidRDefault="00680208" w:rsidP="00680208">
      <w:pPr>
        <w:pStyle w:val="ListParagraph"/>
        <w:autoSpaceDE w:val="0"/>
        <w:autoSpaceDN w:val="0"/>
        <w:adjustRightInd w:val="0"/>
        <w:ind w:left="567"/>
        <w:jc w:val="both"/>
        <w:rPr>
          <w:rFonts w:asciiTheme="majorHAnsi" w:hAnsiTheme="majorHAnsi" w:cs="Tahoma"/>
          <w:color w:val="000000"/>
        </w:rPr>
      </w:pPr>
      <w:r w:rsidRPr="001107E8">
        <w:rPr>
          <w:rFonts w:asciiTheme="majorHAnsi" w:hAnsiTheme="majorHAnsi" w:cs="Tahoma"/>
          <w:color w:val="000000"/>
          <w:lang w:val="id-ID"/>
        </w:rPr>
        <w:t xml:space="preserve">Memiliki kompetensi yang ditunjukkan dengan </w:t>
      </w:r>
      <w:r w:rsidRPr="001107E8">
        <w:rPr>
          <w:rFonts w:asciiTheme="majorHAnsi" w:hAnsiTheme="majorHAnsi" w:cs="Tahoma"/>
          <w:b/>
          <w:bCs/>
          <w:color w:val="000000"/>
          <w:lang w:val="id-ID"/>
        </w:rPr>
        <w:t xml:space="preserve">Sertifikat Badan Usaha (SBU) </w:t>
      </w:r>
      <w:r w:rsidRPr="001107E8">
        <w:rPr>
          <w:rFonts w:asciiTheme="majorHAnsi" w:hAnsiTheme="majorHAnsi" w:cs="Tahoma"/>
          <w:color w:val="000000"/>
          <w:lang w:val="id-ID"/>
        </w:rPr>
        <w:t>yang diterbitkan oleh Lembaga Pengembangan Jasa Konstruksi (LPJK), dan masih berlaku atau dinyatakan masih berlaku oleh peraturan perundang-undangan/tersegistrasi ulang tahun terakhir, dengan kualifikasi/ klasifikasi :</w:t>
      </w:r>
    </w:p>
    <w:p w:rsidR="00680208" w:rsidRPr="003255F4" w:rsidRDefault="00680208" w:rsidP="00680208">
      <w:pPr>
        <w:tabs>
          <w:tab w:val="left" w:pos="965"/>
          <w:tab w:val="left" w:pos="2869"/>
          <w:tab w:val="left" w:pos="3011"/>
        </w:tabs>
        <w:autoSpaceDE w:val="0"/>
        <w:autoSpaceDN w:val="0"/>
        <w:adjustRightInd w:val="0"/>
        <w:ind w:left="959"/>
        <w:rPr>
          <w:rFonts w:asciiTheme="majorHAnsi" w:hAnsiTheme="majorHAnsi" w:cs="Tahoma"/>
          <w:color w:val="000000"/>
          <w:sz w:val="24"/>
          <w:szCs w:val="24"/>
          <w:lang w:val="id-ID"/>
        </w:rPr>
      </w:pP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Bidang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Usaha </w:t>
      </w:r>
      <w:r w:rsidRPr="003255F4">
        <w:rPr>
          <w:rFonts w:asciiTheme="majorHAnsi" w:hAnsiTheme="majorHAnsi" w:cs="Tahoma"/>
          <w:color w:val="000000"/>
          <w:sz w:val="24"/>
          <w:szCs w:val="24"/>
        </w:rPr>
        <w:tab/>
        <w:t>:</w:t>
      </w:r>
      <w:r w:rsidRPr="003255F4">
        <w:rPr>
          <w:rFonts w:asciiTheme="majorHAnsi" w:hAnsiTheme="majorHAnsi" w:cs="Tahoma"/>
          <w:color w:val="000000"/>
          <w:sz w:val="24"/>
          <w:szCs w:val="24"/>
        </w:rPr>
        <w:tab/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Bangunan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Gedung</w:t>
      </w:r>
      <w:proofErr w:type="spellEnd"/>
    </w:p>
    <w:p w:rsidR="00680208" w:rsidRPr="001107E8" w:rsidRDefault="00680208" w:rsidP="00680208">
      <w:pPr>
        <w:tabs>
          <w:tab w:val="left" w:pos="2869"/>
          <w:tab w:val="left" w:pos="3011"/>
        </w:tabs>
        <w:autoSpaceDE w:val="0"/>
        <w:autoSpaceDN w:val="0"/>
        <w:adjustRightInd w:val="0"/>
        <w:ind w:left="2977" w:hanging="2018"/>
        <w:rPr>
          <w:rFonts w:asciiTheme="majorHAnsi" w:hAnsiTheme="majorHAnsi" w:cs="Tahoma"/>
          <w:color w:val="000000"/>
          <w:sz w:val="24"/>
          <w:szCs w:val="24"/>
          <w:lang w:val="id-ID"/>
        </w:rPr>
      </w:pPr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Sub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Bidang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Usaha</w:t>
      </w:r>
      <w:r w:rsidRPr="003255F4">
        <w:rPr>
          <w:rFonts w:asciiTheme="majorHAnsi" w:hAnsiTheme="majorHAnsi" w:cs="Tahoma"/>
          <w:color w:val="000000"/>
          <w:sz w:val="24"/>
          <w:szCs w:val="24"/>
        </w:rPr>
        <w:tab/>
        <w:t>:</w:t>
      </w:r>
      <w:r w:rsidRPr="003255F4">
        <w:rPr>
          <w:rFonts w:asciiTheme="majorHAnsi" w:hAnsiTheme="majorHAnsi" w:cs="Tahoma"/>
          <w:color w:val="000000"/>
          <w:sz w:val="24"/>
          <w:szCs w:val="24"/>
        </w:rPr>
        <w:tab/>
        <w:t xml:space="preserve">(BG009)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Jasa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Pelaksana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Untuk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Konstruksi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Bangunan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Gedung</w:t>
      </w:r>
      <w:proofErr w:type="spellEnd"/>
      <w:r w:rsidRPr="003255F4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3255F4">
        <w:rPr>
          <w:rFonts w:asciiTheme="majorHAnsi" w:hAnsiTheme="majorHAnsi" w:cs="Tahoma"/>
          <w:color w:val="000000"/>
          <w:sz w:val="24"/>
          <w:szCs w:val="24"/>
        </w:rPr>
        <w:t>Lainnya</w:t>
      </w:r>
      <w:proofErr w:type="spellEnd"/>
    </w:p>
    <w:p w:rsidR="00680208" w:rsidRPr="00B5493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B54938">
        <w:rPr>
          <w:rFonts w:asciiTheme="majorHAnsi" w:hAnsiTheme="majorHAnsi" w:cs="Tahoma"/>
          <w:sz w:val="24"/>
          <w:szCs w:val="24"/>
          <w:lang w:val="id-ID"/>
        </w:rPr>
        <w:t>perusahaan yang bersangkutan dan manajemennyaatau  peserta perorangan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>,</w:t>
      </w:r>
      <w:r w:rsidRPr="00B54938">
        <w:rPr>
          <w:rFonts w:asciiTheme="majorHAnsi" w:hAnsiTheme="majorHAnsi" w:cs="Tahoma"/>
          <w:sz w:val="24"/>
          <w:szCs w:val="24"/>
          <w:lang w:val="id-ID"/>
        </w:rPr>
        <w:t xml:space="preserve"> tidak dalam pengawasan pengadilan, tidak bangkrut dan tidak sedang dihentikan kegiatan usahanya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>, dinyatakan dalam surat pernyataan</w:t>
      </w:r>
      <w:r w:rsidRPr="00B54938">
        <w:rPr>
          <w:rFonts w:asciiTheme="majorHAnsi" w:hAnsiTheme="majorHAnsi" w:cs="Tahoma"/>
          <w:sz w:val="24"/>
          <w:szCs w:val="24"/>
          <w:lang w:val="id-ID"/>
        </w:rPr>
        <w:t>;</w:t>
      </w:r>
    </w:p>
    <w:p w:rsidR="00680208" w:rsidRPr="001107E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1107E8">
        <w:rPr>
          <w:rFonts w:asciiTheme="majorHAnsi" w:hAnsiTheme="majorHAnsi" w:cs="Tahoma"/>
          <w:sz w:val="24"/>
          <w:szCs w:val="24"/>
        </w:rPr>
        <w:t>salah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satu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>/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atau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semua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pengurus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badan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usahanya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atau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peserta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perorangan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tidak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masuk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Daftar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Hitam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>;</w:t>
      </w:r>
    </w:p>
    <w:p w:rsidR="00680208" w:rsidRPr="001107E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sz w:val="24"/>
          <w:szCs w:val="24"/>
          <w:lang w:val="nl-NL"/>
        </w:rPr>
      </w:pPr>
      <w:proofErr w:type="spellStart"/>
      <w:r w:rsidRPr="001107E8">
        <w:rPr>
          <w:rFonts w:asciiTheme="majorHAnsi" w:hAnsiTheme="majorHAnsi" w:cs="Tahoma"/>
          <w:sz w:val="24"/>
          <w:szCs w:val="24"/>
        </w:rPr>
        <w:t>memiliki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NPWP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telah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memenuhi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kewajiban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perpajakan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tahun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pajak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terakhir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(SPT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tahunan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)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serta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memiliki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laporan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bulanan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PPh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Pasal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21,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PPh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Pasal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23 (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bila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ada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transaksi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),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PPh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Pasal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25/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Pasal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29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PPN (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bagi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Pengusaha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Kena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Pajak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) paling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lastRenderedPageBreak/>
        <w:t>kurang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3 (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tiga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)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bulan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terakhir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. </w:t>
      </w:r>
      <w:r w:rsidRPr="001107E8">
        <w:rPr>
          <w:rFonts w:asciiTheme="majorHAnsi" w:hAnsiTheme="majorHAnsi" w:cs="Tahoma"/>
          <w:sz w:val="24"/>
          <w:szCs w:val="24"/>
          <w:lang w:val="nl-NL"/>
        </w:rPr>
        <w:t>Peserta dapat mengganti persyaratan ini dengan menyampaikan Surat Keterangan Fiskal (SKF);</w:t>
      </w:r>
    </w:p>
    <w:p w:rsidR="00680208" w:rsidRPr="001107E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sz w:val="24"/>
          <w:szCs w:val="24"/>
          <w:lang w:val="nl-NL"/>
        </w:rPr>
      </w:pPr>
      <w:r w:rsidRPr="001107E8">
        <w:rPr>
          <w:rFonts w:asciiTheme="majorHAnsi" w:hAnsiTheme="majorHAnsi" w:cs="Tahoma"/>
          <w:sz w:val="24"/>
          <w:szCs w:val="24"/>
          <w:lang w:val="nl-NL"/>
        </w:rPr>
        <w:t>peserta berbentuk badan usaha harus memperoleh paling sedikit 1 (satu) pekerjaan sebagai penyedia dalam kurun waktu 4 (empat) tahun terakhir, baik di lingkungan pemerintah maupun swasta termasuk pengalaman subkontrak, kecuali bagi penyedia yang baru berdiri kurang dari 3 (tiga) tahun;</w:t>
      </w:r>
    </w:p>
    <w:p w:rsidR="00680208" w:rsidRPr="001107E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1107E8">
        <w:rPr>
          <w:rFonts w:asciiTheme="majorHAnsi" w:hAnsiTheme="majorHAnsi" w:cs="Tahoma"/>
          <w:sz w:val="24"/>
          <w:szCs w:val="24"/>
        </w:rPr>
        <w:t>memiliki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pengalaman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pada subbidang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tertuang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sz w:val="24"/>
          <w:szCs w:val="24"/>
        </w:rPr>
        <w:t>di</w:t>
      </w:r>
      <w:proofErr w:type="spellEnd"/>
      <w:r w:rsidRPr="001107E8">
        <w:rPr>
          <w:rFonts w:asciiTheme="majorHAnsi" w:hAnsiTheme="majorHAnsi" w:cs="Tahoma"/>
          <w:sz w:val="24"/>
          <w:szCs w:val="24"/>
        </w:rPr>
        <w:t xml:space="preserve"> LDP</w:t>
      </w:r>
    </w:p>
    <w:p w:rsidR="00680208" w:rsidRPr="001107E8" w:rsidRDefault="00680208" w:rsidP="00680208">
      <w:pPr>
        <w:numPr>
          <w:ilvl w:val="0"/>
          <w:numId w:val="2"/>
        </w:numPr>
        <w:tabs>
          <w:tab w:val="left" w:pos="567"/>
        </w:tabs>
        <w:ind w:left="567" w:right="34" w:hanging="283"/>
        <w:jc w:val="both"/>
        <w:rPr>
          <w:rFonts w:asciiTheme="majorHAnsi" w:hAnsiTheme="majorHAnsi" w:cs="Tahoma"/>
          <w:sz w:val="24"/>
          <w:szCs w:val="24"/>
          <w:lang w:val="nl-NL"/>
        </w:rPr>
      </w:pPr>
      <w:r w:rsidRPr="001107E8">
        <w:rPr>
          <w:rFonts w:asciiTheme="majorHAnsi" w:hAnsiTheme="majorHAnsi" w:cs="Tahoma"/>
          <w:sz w:val="24"/>
          <w:szCs w:val="24"/>
          <w:lang w:val="nl-NL"/>
        </w:rPr>
        <w:t>dalam hal peserta berbentuk badan usaha akan melakukan kemitraan:</w:t>
      </w:r>
    </w:p>
    <w:p w:rsidR="00680208" w:rsidRPr="001107E8" w:rsidRDefault="00680208" w:rsidP="00680208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rFonts w:asciiTheme="majorHAnsi" w:hAnsiTheme="majorHAnsi" w:cs="Tahoma"/>
          <w:lang w:val="nl-NL"/>
        </w:rPr>
      </w:pPr>
      <w:r w:rsidRPr="001107E8">
        <w:rPr>
          <w:rFonts w:asciiTheme="majorHAnsi" w:hAnsiTheme="majorHAnsi" w:cs="Tahoma"/>
          <w:lang w:val="nl-NL"/>
        </w:rPr>
        <w:t xml:space="preserve">untuk perusahaan yang melakukan kemitraan, evaluasi persyaratan pada </w:t>
      </w:r>
      <w:r w:rsidRPr="001107E8">
        <w:rPr>
          <w:rFonts w:asciiTheme="majorHAnsi" w:hAnsiTheme="majorHAnsi" w:cs="Tahoma"/>
          <w:lang w:val="id-ID"/>
        </w:rPr>
        <w:t>angka 1</w:t>
      </w:r>
      <w:r w:rsidRPr="001107E8">
        <w:rPr>
          <w:rFonts w:asciiTheme="majorHAnsi" w:hAnsiTheme="majorHAnsi" w:cs="Tahoma"/>
          <w:lang w:val="nl-NL"/>
        </w:rPr>
        <w:t xml:space="preserve"> sampai dengan </w:t>
      </w:r>
      <w:r w:rsidRPr="001107E8">
        <w:rPr>
          <w:rFonts w:asciiTheme="majorHAnsi" w:hAnsiTheme="majorHAnsi" w:cs="Tahoma"/>
          <w:lang w:val="id-ID"/>
        </w:rPr>
        <w:t>angka 7</w:t>
      </w:r>
      <w:r w:rsidRPr="001107E8">
        <w:rPr>
          <w:rFonts w:asciiTheme="majorHAnsi" w:hAnsiTheme="majorHAnsi" w:cs="Tahoma"/>
          <w:lang w:val="nl-NL"/>
        </w:rPr>
        <w:t xml:space="preserve"> dilakukan untuk setiap perusahaan yang melakukan kemitraan.</w:t>
      </w:r>
    </w:p>
    <w:p w:rsidR="00680208" w:rsidRPr="001107E8" w:rsidRDefault="00680208" w:rsidP="00680208">
      <w:pPr>
        <w:pStyle w:val="Default"/>
        <w:numPr>
          <w:ilvl w:val="0"/>
          <w:numId w:val="2"/>
        </w:numPr>
        <w:tabs>
          <w:tab w:val="left" w:pos="567"/>
          <w:tab w:val="left" w:pos="709"/>
        </w:tabs>
        <w:spacing w:line="240" w:lineRule="atLeast"/>
        <w:ind w:left="567" w:hanging="283"/>
        <w:jc w:val="both"/>
        <w:rPr>
          <w:rFonts w:asciiTheme="majorHAnsi" w:hAnsiTheme="majorHAnsi" w:cs="Tahoma"/>
          <w:color w:val="auto"/>
        </w:rPr>
      </w:pPr>
      <w:proofErr w:type="spellStart"/>
      <w:r w:rsidRPr="001107E8">
        <w:rPr>
          <w:rFonts w:asciiTheme="majorHAnsi" w:hAnsiTheme="majorHAnsi" w:cs="Tahoma"/>
          <w:bCs/>
          <w:color w:val="auto"/>
        </w:rPr>
        <w:t>Memiliki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kinerja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baik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tidak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masuk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dalam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daftar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sanksi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atau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daftar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hitam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disuatu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instansi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pemerintah</w:t>
      </w:r>
      <w:proofErr w:type="spellEnd"/>
      <w:r w:rsidRPr="001107E8">
        <w:rPr>
          <w:rFonts w:asciiTheme="majorHAnsi" w:hAnsiTheme="majorHAnsi" w:cs="Tahoma"/>
          <w:bCs/>
          <w:color w:val="auto"/>
        </w:rPr>
        <w:t>;</w:t>
      </w:r>
    </w:p>
    <w:p w:rsidR="00680208" w:rsidRPr="001107E8" w:rsidRDefault="00680208" w:rsidP="00680208">
      <w:pPr>
        <w:pStyle w:val="Default"/>
        <w:numPr>
          <w:ilvl w:val="0"/>
          <w:numId w:val="2"/>
        </w:numPr>
        <w:tabs>
          <w:tab w:val="left" w:pos="567"/>
          <w:tab w:val="left" w:pos="709"/>
        </w:tabs>
        <w:spacing w:line="240" w:lineRule="atLeast"/>
        <w:ind w:left="567" w:hanging="283"/>
        <w:jc w:val="both"/>
        <w:rPr>
          <w:rFonts w:asciiTheme="majorHAnsi" w:hAnsiTheme="majorHAnsi" w:cs="Tahoma"/>
          <w:color w:val="auto"/>
        </w:rPr>
      </w:pPr>
      <w:proofErr w:type="spellStart"/>
      <w:r w:rsidRPr="001107E8">
        <w:rPr>
          <w:rFonts w:asciiTheme="majorHAnsi" w:hAnsiTheme="majorHAnsi" w:cs="Tahoma"/>
          <w:bCs/>
          <w:color w:val="auto"/>
        </w:rPr>
        <w:t>Memiliki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kemampuan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menyediakan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fasilitas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peralatan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serta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personil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yang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diperlukan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untuk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pelaksanaan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pekerjaan</w:t>
      </w:r>
      <w:proofErr w:type="spellEnd"/>
      <w:r w:rsidRPr="001107E8">
        <w:rPr>
          <w:rFonts w:asciiTheme="majorHAnsi" w:hAnsiTheme="majorHAnsi" w:cs="Tahoma"/>
          <w:bCs/>
          <w:color w:val="auto"/>
        </w:rPr>
        <w:t>;</w:t>
      </w:r>
    </w:p>
    <w:p w:rsidR="00680208" w:rsidRPr="001107E8" w:rsidRDefault="00680208" w:rsidP="00680208">
      <w:pPr>
        <w:pStyle w:val="Default"/>
        <w:numPr>
          <w:ilvl w:val="0"/>
          <w:numId w:val="2"/>
        </w:numPr>
        <w:tabs>
          <w:tab w:val="left" w:pos="567"/>
          <w:tab w:val="left" w:pos="709"/>
        </w:tabs>
        <w:spacing w:line="240" w:lineRule="atLeast"/>
        <w:ind w:left="567" w:hanging="283"/>
        <w:jc w:val="both"/>
        <w:rPr>
          <w:rFonts w:asciiTheme="majorHAnsi" w:hAnsiTheme="majorHAnsi" w:cs="Tahoma"/>
          <w:color w:val="auto"/>
        </w:rPr>
      </w:pPr>
      <w:proofErr w:type="spellStart"/>
      <w:r w:rsidRPr="001107E8">
        <w:rPr>
          <w:rFonts w:asciiTheme="majorHAnsi" w:hAnsiTheme="majorHAnsi" w:cs="Tahoma"/>
          <w:bCs/>
          <w:color w:val="auto"/>
        </w:rPr>
        <w:t>Tidak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membuat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pernyataan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yang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tidak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benar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tentang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kompetensi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kemampuan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usaha</w:t>
      </w:r>
      <w:proofErr w:type="spellEnd"/>
      <w:r w:rsidRPr="001107E8">
        <w:rPr>
          <w:rFonts w:asciiTheme="majorHAnsi" w:hAnsiTheme="majorHAnsi" w:cs="Tahoma"/>
          <w:bCs/>
          <w:color w:val="auto"/>
        </w:rPr>
        <w:t xml:space="preserve"> yang </w:t>
      </w:r>
      <w:proofErr w:type="spellStart"/>
      <w:r w:rsidRPr="001107E8">
        <w:rPr>
          <w:rFonts w:asciiTheme="majorHAnsi" w:hAnsiTheme="majorHAnsi" w:cs="Tahoma"/>
          <w:bCs/>
          <w:color w:val="auto"/>
        </w:rPr>
        <w:t>dimilikinya</w:t>
      </w:r>
      <w:proofErr w:type="spellEnd"/>
      <w:r w:rsidRPr="001107E8">
        <w:rPr>
          <w:rFonts w:asciiTheme="majorHAnsi" w:hAnsiTheme="majorHAnsi" w:cs="Tahoma"/>
          <w:bCs/>
          <w:color w:val="auto"/>
        </w:rPr>
        <w:t>;</w:t>
      </w:r>
    </w:p>
    <w:p w:rsidR="00680208" w:rsidRPr="001107E8" w:rsidRDefault="00680208" w:rsidP="00680208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sv-SE"/>
        </w:rPr>
      </w:pPr>
    </w:p>
    <w:p w:rsidR="00680208" w:rsidRPr="001107E8" w:rsidRDefault="00680208" w:rsidP="00680208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b/>
          <w:sz w:val="24"/>
          <w:szCs w:val="24"/>
          <w:lang w:val="sv-SE"/>
        </w:rPr>
      </w:pPr>
      <w:r w:rsidRPr="001107E8">
        <w:rPr>
          <w:rFonts w:asciiTheme="majorHAnsi" w:hAnsiTheme="majorHAnsi" w:cs="Tahoma"/>
          <w:b/>
          <w:sz w:val="24"/>
          <w:szCs w:val="24"/>
          <w:lang w:val="id-ID"/>
        </w:rPr>
        <w:t>Pelaksanaan Pengadaan</w:t>
      </w:r>
    </w:p>
    <w:p w:rsidR="00680208" w:rsidRPr="001107E8" w:rsidRDefault="00680208" w:rsidP="00680208">
      <w:pPr>
        <w:tabs>
          <w:tab w:val="left" w:pos="2410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  <w:r w:rsidRPr="001107E8">
        <w:rPr>
          <w:rFonts w:asciiTheme="majorHAnsi" w:hAnsiTheme="majorHAnsi" w:cs="Tahoma"/>
          <w:sz w:val="24"/>
          <w:szCs w:val="24"/>
          <w:lang w:val="sv-SE"/>
        </w:rPr>
        <w:t xml:space="preserve">Pengadaan 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ini </w:t>
      </w:r>
      <w:r w:rsidRPr="001107E8">
        <w:rPr>
          <w:rFonts w:asciiTheme="majorHAnsi" w:hAnsiTheme="majorHAnsi" w:cs="Tahoma"/>
          <w:sz w:val="24"/>
          <w:szCs w:val="24"/>
          <w:lang w:val="sv-SE"/>
        </w:rPr>
        <w:t>dilaksanakan secara elektronik, dengan mengakses aplikasi Sistem Pengadaan Secara Elektronik (SPSE) pada alamat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 website LPSE </w:t>
      </w:r>
      <w:r w:rsidRPr="001107E8">
        <w:rPr>
          <w:rFonts w:asciiTheme="majorHAnsi" w:hAnsiTheme="majorHAnsi" w:cs="Tahoma"/>
          <w:sz w:val="24"/>
          <w:szCs w:val="24"/>
          <w:lang w:val="sv-SE"/>
        </w:rPr>
        <w:t xml:space="preserve">: 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>lpse.kemenag.go.id</w:t>
      </w:r>
    </w:p>
    <w:p w:rsidR="00680208" w:rsidRPr="001107E8" w:rsidRDefault="00680208" w:rsidP="00680208">
      <w:pPr>
        <w:tabs>
          <w:tab w:val="left" w:pos="2410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680208" w:rsidRPr="001107E8" w:rsidRDefault="00680208" w:rsidP="00680208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sv-SE"/>
        </w:rPr>
      </w:pPr>
      <w:proofErr w:type="spellStart"/>
      <w:r w:rsidRPr="001107E8">
        <w:rPr>
          <w:rFonts w:asciiTheme="majorHAnsi" w:hAnsiTheme="majorHAnsi" w:cs="Tahoma"/>
          <w:b/>
          <w:sz w:val="24"/>
          <w:szCs w:val="24"/>
        </w:rPr>
        <w:t>Jadwal</w:t>
      </w:r>
      <w:proofErr w:type="spellEnd"/>
      <w:r w:rsidRPr="001107E8">
        <w:rPr>
          <w:rFonts w:asciiTheme="majorHAnsi" w:hAnsiTheme="majorHAnsi" w:cs="Tahoma"/>
          <w:b/>
          <w:sz w:val="24"/>
          <w:szCs w:val="24"/>
        </w:rPr>
        <w:t xml:space="preserve"> </w:t>
      </w:r>
      <w:proofErr w:type="spellStart"/>
      <w:r w:rsidRPr="001107E8">
        <w:rPr>
          <w:rFonts w:asciiTheme="majorHAnsi" w:hAnsiTheme="majorHAnsi" w:cs="Tahoma"/>
          <w:b/>
          <w:sz w:val="24"/>
          <w:szCs w:val="24"/>
        </w:rPr>
        <w:t>PelaksanaanPengadaan</w:t>
      </w:r>
      <w:proofErr w:type="spellEnd"/>
    </w:p>
    <w:p w:rsidR="00680208" w:rsidRPr="00037E0A" w:rsidRDefault="00680208" w:rsidP="00680208">
      <w:pPr>
        <w:tabs>
          <w:tab w:val="num" w:pos="284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  <w:r w:rsidRPr="001107E8">
        <w:rPr>
          <w:rFonts w:asciiTheme="majorHAnsi" w:hAnsiTheme="majorHAnsi" w:cs="Tahoma"/>
          <w:sz w:val="24"/>
          <w:szCs w:val="24"/>
          <w:lang w:val="sv-SE"/>
        </w:rPr>
        <w:t>Dapat dilihat pada website LPSE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>lpse.kemenag.go.id</w:t>
      </w:r>
    </w:p>
    <w:p w:rsidR="00680208" w:rsidRPr="001107E8" w:rsidRDefault="00680208" w:rsidP="00680208">
      <w:pPr>
        <w:autoSpaceDE w:val="0"/>
        <w:autoSpaceDN w:val="0"/>
        <w:adjustRightInd w:val="0"/>
        <w:rPr>
          <w:rFonts w:asciiTheme="majorHAnsi" w:hAnsiTheme="majorHAnsi" w:cs="Tahoma"/>
          <w:strike/>
          <w:sz w:val="24"/>
          <w:szCs w:val="24"/>
          <w:lang w:val="id-ID"/>
        </w:rPr>
      </w:pPr>
    </w:p>
    <w:p w:rsidR="00680208" w:rsidRPr="001107E8" w:rsidRDefault="00680208" w:rsidP="00680208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1107E8">
        <w:rPr>
          <w:rFonts w:asciiTheme="majorHAnsi" w:hAnsiTheme="majorHAnsi" w:cs="Tahoma"/>
          <w:sz w:val="24"/>
          <w:szCs w:val="24"/>
          <w:lang w:val="id-ID"/>
        </w:rPr>
        <w:t>Pendaftaran dan pengambilan Dokumen Pengadaan dapat diwakilkan dengan membawa surat tugas dari direktur utama/pimpinan perusahaan/kepala cabang dan kartu pengenal.</w:t>
      </w:r>
    </w:p>
    <w:p w:rsidR="00680208" w:rsidRPr="001107E8" w:rsidRDefault="00680208" w:rsidP="00680208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680208" w:rsidRPr="001107E8" w:rsidRDefault="00680208" w:rsidP="0068020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Dokumen Pengadaan diambil dalam bentuk </w:t>
      </w:r>
      <w:r w:rsidRPr="001107E8">
        <w:rPr>
          <w:rFonts w:asciiTheme="majorHAnsi" w:hAnsiTheme="majorHAnsi" w:cs="Tahoma"/>
          <w:i/>
          <w:sz w:val="24"/>
          <w:szCs w:val="24"/>
          <w:lang w:val="id-ID"/>
        </w:rPr>
        <w:t>softcopy</w:t>
      </w: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 melalui aplikasi SPSE.</w:t>
      </w:r>
    </w:p>
    <w:p w:rsidR="00680208" w:rsidRPr="001107E8" w:rsidRDefault="00680208" w:rsidP="00680208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680208" w:rsidRPr="001107E8" w:rsidRDefault="00680208" w:rsidP="00680208">
      <w:pPr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  <w:lang w:val="id-ID"/>
        </w:rPr>
      </w:pPr>
      <w:r w:rsidRPr="001107E8">
        <w:rPr>
          <w:rFonts w:asciiTheme="majorHAnsi" w:hAnsiTheme="majorHAnsi" w:cs="Tahoma"/>
          <w:sz w:val="24"/>
          <w:szCs w:val="24"/>
          <w:lang w:val="id-ID"/>
        </w:rPr>
        <w:t>Demikian disampaikan untuk menjadi perhatian.</w:t>
      </w:r>
    </w:p>
    <w:p w:rsidR="00680208" w:rsidRPr="001107E8" w:rsidRDefault="00680208" w:rsidP="00680208">
      <w:pPr>
        <w:spacing w:before="60"/>
        <w:ind w:left="19"/>
        <w:rPr>
          <w:rFonts w:asciiTheme="majorHAnsi" w:hAnsiTheme="majorHAnsi" w:cs="Tahoma"/>
          <w:sz w:val="24"/>
          <w:szCs w:val="24"/>
        </w:rPr>
      </w:pPr>
      <w:r w:rsidRPr="001107E8">
        <w:rPr>
          <w:rFonts w:asciiTheme="majorHAnsi" w:hAnsiTheme="majorHAnsi" w:cs="Tahoma"/>
          <w:sz w:val="24"/>
          <w:szCs w:val="24"/>
          <w:lang w:val="id-ID"/>
        </w:rPr>
        <w:t xml:space="preserve">Malang, </w:t>
      </w:r>
      <w:r>
        <w:rPr>
          <w:rFonts w:asciiTheme="majorHAnsi" w:hAnsiTheme="majorHAnsi" w:cs="Tahoma"/>
          <w:sz w:val="24"/>
          <w:szCs w:val="24"/>
          <w:lang w:val="id-ID"/>
        </w:rPr>
        <w:t>30</w:t>
      </w:r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Oktober</w:t>
      </w:r>
      <w:proofErr w:type="spellEnd"/>
      <w:r w:rsidRPr="001107E8">
        <w:rPr>
          <w:rFonts w:asciiTheme="majorHAnsi" w:hAnsiTheme="majorHAnsi" w:cs="Tahoma"/>
          <w:sz w:val="24"/>
          <w:szCs w:val="24"/>
          <w:lang w:val="id-ID"/>
        </w:rPr>
        <w:t>2014</w:t>
      </w:r>
    </w:p>
    <w:p w:rsidR="00680208" w:rsidRPr="001107E8" w:rsidRDefault="00680208" w:rsidP="00680208">
      <w:pPr>
        <w:rPr>
          <w:rFonts w:asciiTheme="majorHAnsi" w:hAnsiTheme="majorHAnsi" w:cs="Tahoma"/>
          <w:b/>
          <w:sz w:val="24"/>
          <w:szCs w:val="24"/>
          <w:lang w:val="id-ID"/>
        </w:rPr>
      </w:pPr>
    </w:p>
    <w:p w:rsidR="00680208" w:rsidRPr="001107E8" w:rsidRDefault="00680208" w:rsidP="00680208">
      <w:pPr>
        <w:rPr>
          <w:rFonts w:asciiTheme="majorHAnsi" w:hAnsiTheme="majorHAnsi" w:cs="Tahoma"/>
          <w:b/>
          <w:sz w:val="24"/>
          <w:szCs w:val="24"/>
          <w:lang w:val="id-ID"/>
        </w:rPr>
      </w:pPr>
      <w:r w:rsidRPr="001107E8">
        <w:rPr>
          <w:rFonts w:asciiTheme="majorHAnsi" w:hAnsiTheme="majorHAnsi" w:cs="Tahoma"/>
          <w:b/>
          <w:sz w:val="24"/>
          <w:szCs w:val="24"/>
          <w:lang w:val="id-ID"/>
        </w:rPr>
        <w:t xml:space="preserve">ttd </w:t>
      </w:r>
    </w:p>
    <w:p w:rsidR="00680208" w:rsidRPr="001107E8" w:rsidRDefault="00680208" w:rsidP="00680208">
      <w:pPr>
        <w:rPr>
          <w:rFonts w:asciiTheme="majorHAnsi" w:hAnsiTheme="majorHAnsi" w:cs="Tahoma"/>
          <w:b/>
          <w:sz w:val="24"/>
          <w:szCs w:val="24"/>
          <w:lang w:val="id-ID"/>
        </w:rPr>
      </w:pPr>
    </w:p>
    <w:p w:rsidR="00680208" w:rsidRPr="001107E8" w:rsidRDefault="00680208" w:rsidP="00680208">
      <w:pPr>
        <w:rPr>
          <w:rFonts w:asciiTheme="majorHAnsi" w:hAnsiTheme="majorHAnsi" w:cs="Tahoma"/>
          <w:b/>
          <w:sz w:val="24"/>
          <w:szCs w:val="24"/>
          <w:lang w:val="id-ID"/>
        </w:rPr>
      </w:pPr>
      <w:r w:rsidRPr="001107E8">
        <w:rPr>
          <w:rFonts w:asciiTheme="majorHAnsi" w:hAnsiTheme="majorHAnsi" w:cs="Tahoma"/>
          <w:b/>
          <w:sz w:val="24"/>
          <w:szCs w:val="24"/>
          <w:lang w:val="id-ID"/>
        </w:rPr>
        <w:t>Panitia Pengadaan Barang/Jasa</w:t>
      </w:r>
    </w:p>
    <w:p w:rsidR="00680208" w:rsidRPr="001107E8" w:rsidRDefault="00680208" w:rsidP="00680208">
      <w:pPr>
        <w:autoSpaceDE w:val="0"/>
        <w:autoSpaceDN w:val="0"/>
        <w:adjustRightInd w:val="0"/>
        <w:spacing w:after="113"/>
        <w:ind w:left="1174"/>
        <w:rPr>
          <w:rFonts w:asciiTheme="majorHAnsi" w:hAnsiTheme="majorHAnsi" w:cs="Tahoma"/>
          <w:sz w:val="24"/>
          <w:szCs w:val="24"/>
          <w:lang w:val="id-ID"/>
        </w:rPr>
      </w:pPr>
    </w:p>
    <w:p w:rsidR="007D6846" w:rsidRPr="00680208" w:rsidRDefault="007D6846">
      <w:pPr>
        <w:rPr>
          <w:lang w:val="id-ID"/>
        </w:rPr>
      </w:pPr>
    </w:p>
    <w:sectPr w:rsidR="007D6846" w:rsidRPr="00680208" w:rsidSect="007D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09F"/>
    <w:multiLevelType w:val="hybridMultilevel"/>
    <w:tmpl w:val="0E041A1E"/>
    <w:lvl w:ilvl="0" w:tplc="3E06E6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58C6FC08"/>
    <w:lvl w:ilvl="0" w:tplc="745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0208"/>
    <w:rsid w:val="00584456"/>
    <w:rsid w:val="00680208"/>
    <w:rsid w:val="007D6846"/>
    <w:rsid w:val="00845258"/>
    <w:rsid w:val="00A77E2B"/>
    <w:rsid w:val="00E8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02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0208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80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2014-11-03T02:21:00Z</dcterms:created>
  <dcterms:modified xsi:type="dcterms:W3CDTF">2014-11-03T02:21:00Z</dcterms:modified>
</cp:coreProperties>
</file>