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D31F0C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A7AC9">
        <w:rPr>
          <w:rFonts w:asciiTheme="majorHAnsi" w:hAnsiTheme="majorHAnsi"/>
          <w:sz w:val="22"/>
          <w:szCs w:val="22"/>
          <w:lang w:val="en-US"/>
        </w:rPr>
        <w:t>706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F86EFF">
        <w:rPr>
          <w:rFonts w:asciiTheme="majorHAnsi" w:hAnsiTheme="majorHAnsi"/>
          <w:color w:val="000000" w:themeColor="text1"/>
          <w:sz w:val="22"/>
          <w:szCs w:val="22"/>
          <w:lang w:val="en-US"/>
        </w:rPr>
        <w:t>7</w:t>
      </w:r>
      <w:r w:rsidR="00E6794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7943">
        <w:rPr>
          <w:rFonts w:asciiTheme="majorHAnsi" w:hAnsiTheme="majorHAnsi"/>
          <w:color w:val="000000" w:themeColor="text1"/>
          <w:sz w:val="22"/>
          <w:szCs w:val="22"/>
          <w:lang w:val="en-US"/>
        </w:rPr>
        <w:t>Oktober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kertas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sertifikat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dan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map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sertifikat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pendidik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>sertifikasi</w:t>
      </w:r>
      <w:proofErr w:type="spellEnd"/>
      <w:r w:rsidR="00EC31CD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guru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E67943">
        <w:rPr>
          <w:rFonts w:asciiTheme="majorHAnsi" w:hAnsiTheme="majorHAnsi"/>
          <w:lang w:val="en-US"/>
        </w:rPr>
        <w:t>S</w:t>
      </w:r>
      <w:r w:rsidR="00FA7AC9">
        <w:rPr>
          <w:rFonts w:asciiTheme="majorHAnsi" w:hAnsiTheme="majorHAnsi"/>
          <w:lang w:val="en-US"/>
        </w:rPr>
        <w:t>elasa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E67943">
        <w:rPr>
          <w:rFonts w:asciiTheme="majorHAnsi" w:hAnsiTheme="majorHAnsi"/>
          <w:lang w:val="en-US"/>
        </w:rPr>
        <w:t>1</w:t>
      </w:r>
      <w:r w:rsidR="00FA7AC9">
        <w:rPr>
          <w:rFonts w:asciiTheme="majorHAnsi" w:hAnsiTheme="majorHAnsi"/>
          <w:lang w:val="en-US"/>
        </w:rPr>
        <w:t>3</w:t>
      </w:r>
      <w:r w:rsidR="00E67943">
        <w:rPr>
          <w:rFonts w:asciiTheme="majorHAnsi" w:hAnsiTheme="majorHAnsi"/>
          <w:lang w:val="en-US"/>
        </w:rPr>
        <w:t xml:space="preserve"> </w:t>
      </w:r>
      <w:proofErr w:type="spellStart"/>
      <w:r w:rsidR="00E67943">
        <w:rPr>
          <w:rFonts w:asciiTheme="majorHAnsi" w:hAnsiTheme="majorHAnsi"/>
          <w:lang w:val="en-US"/>
        </w:rPr>
        <w:t>Oktober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E67943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09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10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D31F0C">
        <w:fldChar w:fldCharType="begin"/>
      </w:r>
      <w:r w:rsidR="00D31F0C">
        <w:instrText xml:space="preserve"> HYPERLINK "mailto:ulp_uinmalang@kemenag.go.id" </w:instrText>
      </w:r>
      <w:r w:rsidR="00D31F0C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D31F0C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FA7AC9">
        <w:rPr>
          <w:rFonts w:asciiTheme="majorHAnsi" w:hAnsiTheme="majorHAnsi"/>
          <w:sz w:val="22"/>
          <w:szCs w:val="22"/>
          <w:lang w:val="en-US"/>
        </w:rPr>
        <w:t>706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EC31C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86EFF">
        <w:rPr>
          <w:rFonts w:asciiTheme="majorHAnsi" w:hAnsiTheme="majorHAnsi"/>
          <w:sz w:val="22"/>
          <w:szCs w:val="22"/>
          <w:lang w:val="en-US"/>
        </w:rPr>
        <w:t>7</w:t>
      </w:r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>Oktober</w:t>
      </w:r>
      <w:proofErr w:type="spellEnd"/>
      <w:r w:rsidR="00EC31CD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2015</w:t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Kertas</w:t>
      </w:r>
      <w:proofErr w:type="spellEnd"/>
      <w:r w:rsidR="00EC31CD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dan</w:t>
      </w:r>
      <w:proofErr w:type="spellEnd"/>
      <w:r w:rsidR="00EC31CD">
        <w:rPr>
          <w:rFonts w:asciiTheme="majorHAnsi" w:hAnsiTheme="majorHAnsi" w:cstheme="minorHAnsi"/>
          <w:b/>
          <w:sz w:val="22"/>
          <w:szCs w:val="22"/>
        </w:rPr>
        <w:t xml:space="preserve"> map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sertifikat</w:t>
      </w:r>
      <w:proofErr w:type="spellEnd"/>
      <w:r w:rsidR="00EC31CD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pendidik</w:t>
      </w:r>
      <w:proofErr w:type="spellEnd"/>
      <w:r w:rsidR="00EC31CD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sertifikasi</w:t>
      </w:r>
      <w:proofErr w:type="spellEnd"/>
      <w:r w:rsidR="00EC31CD">
        <w:rPr>
          <w:rFonts w:asciiTheme="majorHAnsi" w:hAnsiTheme="majorHAnsi" w:cstheme="minorHAnsi"/>
          <w:b/>
          <w:sz w:val="22"/>
          <w:szCs w:val="22"/>
        </w:rPr>
        <w:t xml:space="preserve"> guru </w:t>
      </w:r>
      <w:proofErr w:type="spellStart"/>
      <w:r w:rsidR="00EC31CD">
        <w:rPr>
          <w:rFonts w:asciiTheme="majorHAnsi" w:hAnsiTheme="majorHAnsi" w:cstheme="minorHAnsi"/>
          <w:b/>
          <w:sz w:val="22"/>
          <w:szCs w:val="22"/>
        </w:rPr>
        <w:t>tahun</w:t>
      </w:r>
      <w:proofErr w:type="spellEnd"/>
      <w:r w:rsidR="00463F46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7C4A0B">
        <w:rPr>
          <w:rFonts w:asciiTheme="majorHAnsi" w:hAnsiTheme="majorHAnsi" w:cstheme="minorHAnsi"/>
          <w:b/>
          <w:sz w:val="22"/>
          <w:szCs w:val="22"/>
        </w:rPr>
        <w:t>2015</w:t>
      </w:r>
      <w:r w:rsidR="00DB77BE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931"/>
        <w:gridCol w:w="4110"/>
        <w:gridCol w:w="284"/>
        <w:gridCol w:w="850"/>
        <w:gridCol w:w="1134"/>
        <w:gridCol w:w="1418"/>
      </w:tblGrid>
      <w:tr w:rsidR="001C2357" w:rsidRPr="001C2357" w:rsidTr="003A6F12">
        <w:trPr>
          <w:trHeight w:val="9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0812BB" w:rsidRPr="001C2357" w:rsidTr="00ED3489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2BB" w:rsidRPr="00863CCB" w:rsidRDefault="000812BB" w:rsidP="0018416D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63CCB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1</w:t>
            </w:r>
          </w:p>
          <w:p w:rsidR="000812BB" w:rsidRPr="00863CCB" w:rsidRDefault="000812BB" w:rsidP="0018416D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63CCB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  <w:p w:rsidR="000812BB" w:rsidRPr="00863CCB" w:rsidRDefault="000812BB" w:rsidP="0018416D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63CCB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12BB" w:rsidRPr="00863CCB" w:rsidRDefault="000812BB" w:rsidP="0018416D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863CCB">
              <w:rPr>
                <w:rFonts w:ascii="Calibri" w:hAnsi="Calibri"/>
                <w:b/>
                <w:color w:val="000000"/>
                <w:lang w:eastAsia="en-GB"/>
              </w:rPr>
              <w:t>Kertas</w:t>
            </w:r>
            <w:proofErr w:type="spellEnd"/>
            <w:r w:rsidRPr="00863CCB">
              <w:rPr>
                <w:rFonts w:ascii="Calibri" w:hAnsi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863CCB">
              <w:rPr>
                <w:rFonts w:ascii="Calibri" w:hAnsi="Calibri"/>
                <w:b/>
                <w:color w:val="000000"/>
                <w:lang w:eastAsia="en-GB"/>
              </w:rPr>
              <w:t>Sertifikat</w:t>
            </w:r>
            <w:proofErr w:type="spellEnd"/>
          </w:p>
          <w:p w:rsidR="000812BB" w:rsidRPr="00863CCB" w:rsidRDefault="000812BB" w:rsidP="0018416D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63CCB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C3FF3" w:rsidRPr="00112F54" w:rsidRDefault="00AC3FF3" w:rsidP="00AC3FF3">
            <w:pPr>
              <w:rPr>
                <w:rFonts w:ascii="Segoe UI" w:hAnsi="Segoe UI" w:cs="Segoe UI"/>
              </w:rPr>
            </w:pP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Spesifikasi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Kertas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Meliputi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>:</w:t>
            </w:r>
            <w:r w:rsidRPr="00112F54">
              <w:rPr>
                <w:rFonts w:ascii="Segoe UI" w:hAnsi="Segoe UI" w:cs="Segoe UI"/>
                <w:b/>
                <w:bCs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Kertas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Khusus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(security paper)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ketebalan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125 µm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toleransi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± 4 µm</w:t>
            </w:r>
            <w:r w:rsidRPr="00112F54">
              <w:rPr>
                <w:rFonts w:ascii="Segoe UI" w:hAnsi="Segoe UI" w:cs="Segoe UI"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Ukuran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21 cm x 29,5 cm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130 gr/m2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toleransi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¬ 4 gr/m2,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Opasitas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90% (minimum), Brightness : 80%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toleransi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 ± 2%,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Bahan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Pulp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kayu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kimia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100%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Putih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Pengaman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Tanda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air logo Garuda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menyebar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(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berdiri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),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Minituring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: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Berupa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serat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tidak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berpendar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merah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di 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bawah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sinar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matahari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serat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berpendar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biru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kuning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bila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disinari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ultra violet.</w:t>
            </w:r>
          </w:p>
          <w:p w:rsidR="00AC3FF3" w:rsidRPr="00112F54" w:rsidRDefault="00AC3FF3" w:rsidP="00AC3FF3">
            <w:pPr>
              <w:rPr>
                <w:rFonts w:ascii="Segoe UI" w:hAnsi="Segoe UI" w:cs="Segoe UI"/>
              </w:rPr>
            </w:pP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Spesifikasi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Teknis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Blanko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cetak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yang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terdiri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atas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>:</w:t>
            </w:r>
            <w:r w:rsidRPr="00112F54">
              <w:rPr>
                <w:rFonts w:ascii="Segoe UI" w:hAnsi="Segoe UI" w:cs="Segoe UI"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Tanda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pengaman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/security yang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hanya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dapat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dilihat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menggunakan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alat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anti copy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kode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rahasia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yang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hanya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diketahui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penyedia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barang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>/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jasa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pemberi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tugas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;,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Tulisan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SERTIFIKAT PENDIDIK 2015 (KONTUR),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menggunakan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tinta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invisible yang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memendar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merah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bila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disinari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sinar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ultra violet.</w:t>
            </w:r>
            <w:r w:rsidRPr="00112F54">
              <w:rPr>
                <w:rFonts w:ascii="Segoe UI" w:hAnsi="Segoe UI" w:cs="Segoe UI"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Halaman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muka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blangko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terdiri</w:t>
            </w:r>
            <w:proofErr w:type="spellEnd"/>
            <w:r w:rsidRPr="00112F54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b/>
                <w:bCs/>
                <w:sz w:val="22"/>
              </w:rPr>
              <w:t>atas</w:t>
            </w:r>
            <w:proofErr w:type="spellEnd"/>
            <w:proofErr w:type="gramStart"/>
            <w:r w:rsidRPr="00112F54">
              <w:rPr>
                <w:rFonts w:ascii="Segoe UI" w:hAnsi="Segoe UI" w:cs="Segoe UI"/>
                <w:b/>
                <w:bCs/>
                <w:sz w:val="22"/>
              </w:rPr>
              <w:t>:</w:t>
            </w:r>
            <w:proofErr w:type="gramEnd"/>
            <w:r w:rsidRPr="00112F54">
              <w:rPr>
                <w:rFonts w:ascii="Segoe UI" w:hAnsi="Segoe UI" w:cs="Segoe UI"/>
                <w:b/>
                <w:bCs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Bingkai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berbentuk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horizontal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ornament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hijau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>.</w:t>
            </w:r>
            <w:r w:rsidRPr="00112F54">
              <w:rPr>
                <w:rFonts w:ascii="Segoe UI" w:hAnsi="Segoe UI" w:cs="Segoe UI"/>
                <w:sz w:val="22"/>
              </w:rPr>
              <w:br/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Kepala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Blangko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berupa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logo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Kementerian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Agama RI,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Teks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Kementerian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Agama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Republik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Indonesia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menggunakan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font Arial, Uppercase,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ukuran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12 point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hijau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tua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(RGB = 12</w:t>
            </w:r>
            <w:proofErr w:type="gramStart"/>
            <w:r w:rsidRPr="00112F54">
              <w:rPr>
                <w:rFonts w:ascii="Segoe UI" w:hAnsi="Segoe UI" w:cs="Segoe UI"/>
                <w:sz w:val="22"/>
              </w:rPr>
              <w:t>,60,34</w:t>
            </w:r>
            <w:proofErr w:type="gramEnd"/>
            <w:r w:rsidRPr="00112F54">
              <w:rPr>
                <w:rFonts w:ascii="Segoe UI" w:hAnsi="Segoe UI" w:cs="Segoe UI"/>
                <w:sz w:val="22"/>
              </w:rPr>
              <w:t xml:space="preserve">),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Teks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Sertifikat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Pendidik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meggunakan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font Garamond, Bold Uppercase,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ukuran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Font 22 point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dicetak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dengan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Tinta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Emas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,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Latar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Belakang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(background)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blanko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sertifikat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terdiri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dari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latar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belakang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yang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kasat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mata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Berupa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Logo UIN MALIKI Malang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lastRenderedPageBreak/>
              <w:t>menggunakan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tinta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visible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warna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 xml:space="preserve"> </w:t>
            </w:r>
            <w:proofErr w:type="spellStart"/>
            <w:r w:rsidRPr="00112F54">
              <w:rPr>
                <w:rFonts w:ascii="Segoe UI" w:hAnsi="Segoe UI" w:cs="Segoe UI"/>
                <w:sz w:val="22"/>
              </w:rPr>
              <w:t>hijau</w:t>
            </w:r>
            <w:proofErr w:type="spellEnd"/>
            <w:r w:rsidRPr="00112F54">
              <w:rPr>
                <w:rFonts w:ascii="Segoe UI" w:hAnsi="Segoe UI" w:cs="Segoe UI"/>
                <w:sz w:val="22"/>
              </w:rPr>
              <w:t>.</w:t>
            </w:r>
          </w:p>
          <w:p w:rsidR="000812BB" w:rsidRPr="00112F54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2.350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0812BB" w:rsidRPr="001C2357" w:rsidTr="00ED3489">
        <w:trPr>
          <w:trHeight w:val="4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BB" w:rsidRPr="001C2357" w:rsidRDefault="000812BB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1C235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12BB" w:rsidRPr="00112F54" w:rsidRDefault="000812BB" w:rsidP="0067762A">
            <w:pPr>
              <w:ind w:left="175" w:hanging="175"/>
              <w:rPr>
                <w:rFonts w:ascii="Calibri" w:hAnsi="Calibri"/>
                <w:color w:val="000000"/>
                <w:u w:val="single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877BBE">
              <w:rPr>
                <w:rFonts w:ascii="Calibri" w:hAnsi="Calibri"/>
                <w:color w:val="000000"/>
                <w:sz w:val="22"/>
                <w:lang w:eastAsia="en-GB"/>
              </w:rPr>
              <w:t>lembar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0812BB" w:rsidRPr="001C2357" w:rsidTr="00ED3489">
        <w:trPr>
          <w:trHeight w:val="6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2BB" w:rsidRPr="001C2357" w:rsidRDefault="000812BB" w:rsidP="001C2357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2BB" w:rsidRPr="001C2357" w:rsidRDefault="000812BB" w:rsidP="001C235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12BB" w:rsidRPr="00112F54" w:rsidRDefault="000812BB" w:rsidP="0067762A">
            <w:pPr>
              <w:ind w:left="175" w:hanging="175"/>
              <w:rPr>
                <w:rFonts w:ascii="Calibri" w:hAnsi="Calibri"/>
                <w:color w:val="000000"/>
                <w:u w:val="single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12BB" w:rsidRPr="001C2357" w:rsidRDefault="000812BB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18416D" w:rsidRPr="001C2357" w:rsidTr="0067762A">
        <w:trPr>
          <w:trHeight w:val="2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6D" w:rsidRPr="001C2357" w:rsidRDefault="0018416D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0973" w:rsidRPr="00112F54" w:rsidRDefault="00E62C42" w:rsidP="0067762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112F54">
              <w:rPr>
                <w:rFonts w:ascii="Calibri" w:hAnsi="Calibri"/>
                <w:color w:val="000000"/>
                <w:sz w:val="22"/>
                <w:lang w:eastAsia="en-GB"/>
              </w:rPr>
              <w:t>Desain</w:t>
            </w:r>
            <w:proofErr w:type="spellEnd"/>
            <w:r w:rsidRPr="00112F54">
              <w:rPr>
                <w:rFonts w:ascii="Calibri" w:hAnsi="Calibri"/>
                <w:color w:val="000000"/>
                <w:sz w:val="22"/>
                <w:lang w:eastAsia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8416D" w:rsidRPr="001C2357" w:rsidRDefault="0018416D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8416D" w:rsidRPr="001C2357" w:rsidRDefault="0018416D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F86EFF" w:rsidRPr="001C2357" w:rsidTr="00312D93">
        <w:trPr>
          <w:trHeight w:val="227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EFF" w:rsidRPr="001C2357" w:rsidRDefault="00F86EFF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9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86EFF" w:rsidRPr="001C2357" w:rsidRDefault="00F86EFF" w:rsidP="00C603B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FF" w:rsidRPr="00112F54" w:rsidRDefault="00F86EFF" w:rsidP="0067762A">
            <w:pPr>
              <w:rPr>
                <w:rFonts w:ascii="Calibri" w:hAnsi="Calibri"/>
                <w:color w:val="000000"/>
                <w:lang w:val="en-US" w:eastAsia="en-GB"/>
              </w:rPr>
            </w:pPr>
            <w:r w:rsidRPr="00F86EFF">
              <w:rPr>
                <w:rFonts w:ascii="Calibri" w:hAnsi="Calibri"/>
                <w:noProof/>
                <w:color w:val="000000"/>
                <w:lang w:val="id-ID" w:eastAsia="id-ID"/>
              </w:rPr>
              <w:drawing>
                <wp:inline distT="0" distB="0" distL="0" distR="0" wp14:anchorId="63B3EE2A" wp14:editId="08C4B566">
                  <wp:extent cx="4071600" cy="2880000"/>
                  <wp:effectExtent l="0" t="0" r="0" b="0"/>
                  <wp:docPr id="1" name="Picture 1" descr="D:\Tahun_2015\PROCUREMENT\14. cetak kertas sertifikat guru\CONTOH KERTAS SERTIFIK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hun_2015\PROCUREMENT\14. cetak kertas sertifikat guru\CONTOH KERTAS SERTIFIK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16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EFF" w:rsidRDefault="00F86EFF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  <w:p w:rsidR="00646578" w:rsidRPr="001C2357" w:rsidRDefault="00646578" w:rsidP="0067762A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Proving 2 kali</w:t>
            </w:r>
          </w:p>
        </w:tc>
      </w:tr>
      <w:tr w:rsidR="00C603B2" w:rsidRPr="001C2357" w:rsidTr="0067762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8877C9" w:rsidRDefault="00C603B2" w:rsidP="008877C9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877C9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  <w:r w:rsidR="008877C9" w:rsidRPr="008877C9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8877C9" w:rsidRDefault="008877C9" w:rsidP="008877C9">
            <w:pPr>
              <w:rPr>
                <w:rFonts w:ascii="Calibri" w:hAnsi="Calibri"/>
                <w:b/>
                <w:color w:val="000000"/>
                <w:lang w:eastAsia="en-GB"/>
              </w:rPr>
            </w:pPr>
            <w:r w:rsidRPr="008877C9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Map</w:t>
            </w:r>
            <w:r w:rsidR="00C603B2" w:rsidRPr="008877C9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61A4" w:rsidRDefault="00AE61A4" w:rsidP="00AE61A4">
            <w:pPr>
              <w:rPr>
                <w:rFonts w:ascii="Segoe UI" w:hAnsi="Segoe UI" w:cs="Segoe UI"/>
              </w:rPr>
            </w:pPr>
            <w:proofErr w:type="spellStart"/>
            <w:r w:rsidRPr="00AE61A4">
              <w:rPr>
                <w:rFonts w:ascii="Segoe UI" w:hAnsi="Segoe UI" w:cs="Segoe UI"/>
                <w:sz w:val="22"/>
              </w:rPr>
              <w:t>Kertas</w:t>
            </w:r>
            <w:proofErr w:type="spellEnd"/>
            <w:r w:rsidRPr="00AE61A4">
              <w:rPr>
                <w:rFonts w:ascii="Segoe UI" w:hAnsi="Segoe UI" w:cs="Segoe UI"/>
                <w:sz w:val="22"/>
              </w:rPr>
              <w:t xml:space="preserve"> AP250 gram Full </w:t>
            </w:r>
            <w:proofErr w:type="spellStart"/>
            <w:r w:rsidRPr="00AE61A4">
              <w:rPr>
                <w:rFonts w:ascii="Segoe UI" w:hAnsi="Segoe UI" w:cs="Segoe UI"/>
                <w:sz w:val="22"/>
              </w:rPr>
              <w:t>Color</w:t>
            </w:r>
            <w:proofErr w:type="spellEnd"/>
            <w:r w:rsidRPr="00AE61A4">
              <w:rPr>
                <w:rFonts w:ascii="Segoe UI" w:hAnsi="Segoe UI" w:cs="Segoe UI"/>
                <w:sz w:val="22"/>
              </w:rPr>
              <w:t xml:space="preserve">, </w:t>
            </w:r>
            <w:proofErr w:type="spellStart"/>
            <w:r w:rsidRPr="00AE61A4">
              <w:rPr>
                <w:rFonts w:ascii="Segoe UI" w:hAnsi="Segoe UI" w:cs="Segoe UI"/>
                <w:sz w:val="22"/>
              </w:rPr>
              <w:t>ukuran</w:t>
            </w:r>
            <w:proofErr w:type="spellEnd"/>
            <w:r w:rsidRPr="00AE61A4">
              <w:rPr>
                <w:rFonts w:ascii="Segoe UI" w:hAnsi="Segoe UI" w:cs="Segoe UI"/>
                <w:sz w:val="22"/>
              </w:rPr>
              <w:t xml:space="preserve"> 24 x 34</w:t>
            </w:r>
            <w:r w:rsidR="003A378C">
              <w:rPr>
                <w:rFonts w:ascii="Segoe UI" w:hAnsi="Segoe UI" w:cs="Segoe UI"/>
                <w:sz w:val="22"/>
              </w:rPr>
              <w:t xml:space="preserve"> cm</w:t>
            </w:r>
            <w:r w:rsidRPr="00AE61A4">
              <w:rPr>
                <w:rFonts w:ascii="Segoe UI" w:hAnsi="Segoe UI" w:cs="Segoe UI"/>
                <w:sz w:val="22"/>
              </w:rPr>
              <w:t>)</w:t>
            </w:r>
          </w:p>
          <w:p w:rsidR="009D6A64" w:rsidRDefault="009D6A64" w:rsidP="00AE61A4">
            <w:pPr>
              <w:rPr>
                <w:rFonts w:ascii="Segoe UI" w:hAnsi="Segoe UI" w:cs="Segoe UI"/>
              </w:rPr>
            </w:pPr>
          </w:p>
          <w:p w:rsidR="009D6A64" w:rsidRPr="00AE61A4" w:rsidRDefault="009D6A64" w:rsidP="00AE61A4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sz w:val="22"/>
              </w:rPr>
              <w:t>Desain</w:t>
            </w:r>
            <w:proofErr w:type="spellEnd"/>
          </w:p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67762A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2.250</w:t>
            </w:r>
            <w:r w:rsidR="003D3D6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unit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67762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646578" w:rsidRPr="007A35EB">
              <w:rPr>
                <w:rFonts w:ascii="Calibri" w:hAnsi="Calibri"/>
                <w:color w:val="000000"/>
                <w:szCs w:val="22"/>
                <w:lang w:eastAsia="en-GB"/>
              </w:rPr>
              <w:t>Proving 2 kali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3D3D64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603B2" w:rsidRPr="001C2357" w:rsidRDefault="00C603B2" w:rsidP="0067762A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3A6F12">
        <w:trPr>
          <w:trHeight w:val="30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603B2" w:rsidRPr="001C2357" w:rsidTr="003A6F12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B2" w:rsidRPr="001C2357" w:rsidRDefault="00C603B2" w:rsidP="00C603B2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bookmarkStart w:id="0" w:name="_GoBack"/>
      <w:bookmarkEnd w:id="0"/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3717F9">
      <w:footerReference w:type="default" r:id="rId12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0C" w:rsidRDefault="00D31F0C" w:rsidP="0017478B">
      <w:r>
        <w:separator/>
      </w:r>
    </w:p>
  </w:endnote>
  <w:endnote w:type="continuationSeparator" w:id="0">
    <w:p w:rsidR="00D31F0C" w:rsidRDefault="00D31F0C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78B" w:rsidRDefault="0017478B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221308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221308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7478B" w:rsidRDefault="00174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0C" w:rsidRDefault="00D31F0C" w:rsidP="0017478B">
      <w:r>
        <w:separator/>
      </w:r>
    </w:p>
  </w:footnote>
  <w:footnote w:type="continuationSeparator" w:id="0">
    <w:p w:rsidR="00D31F0C" w:rsidRDefault="00D31F0C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812BB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7478B"/>
    <w:rsid w:val="0018181B"/>
    <w:rsid w:val="0018416D"/>
    <w:rsid w:val="00190110"/>
    <w:rsid w:val="00196D57"/>
    <w:rsid w:val="001C2357"/>
    <w:rsid w:val="001C5FE6"/>
    <w:rsid w:val="001D73C5"/>
    <w:rsid w:val="00202700"/>
    <w:rsid w:val="0020691D"/>
    <w:rsid w:val="00221308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984"/>
    <w:rsid w:val="003717F9"/>
    <w:rsid w:val="003A378C"/>
    <w:rsid w:val="003A6F12"/>
    <w:rsid w:val="003C4CF9"/>
    <w:rsid w:val="003D3D64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E717D"/>
    <w:rsid w:val="005F67BE"/>
    <w:rsid w:val="0061372D"/>
    <w:rsid w:val="006444BE"/>
    <w:rsid w:val="00646578"/>
    <w:rsid w:val="00667619"/>
    <w:rsid w:val="0067762A"/>
    <w:rsid w:val="006901E4"/>
    <w:rsid w:val="00697D34"/>
    <w:rsid w:val="006A3CB0"/>
    <w:rsid w:val="006C0973"/>
    <w:rsid w:val="006C3ADE"/>
    <w:rsid w:val="006D5A96"/>
    <w:rsid w:val="00711C84"/>
    <w:rsid w:val="0075600B"/>
    <w:rsid w:val="007759EE"/>
    <w:rsid w:val="00777E2E"/>
    <w:rsid w:val="007A35EB"/>
    <w:rsid w:val="007C4A0B"/>
    <w:rsid w:val="007C704D"/>
    <w:rsid w:val="007D06E2"/>
    <w:rsid w:val="007D5E59"/>
    <w:rsid w:val="007E1A1C"/>
    <w:rsid w:val="007F2A58"/>
    <w:rsid w:val="008050AA"/>
    <w:rsid w:val="00852129"/>
    <w:rsid w:val="00863CC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C2ADB"/>
    <w:rsid w:val="00AC3FF3"/>
    <w:rsid w:val="00AD1DF3"/>
    <w:rsid w:val="00AE61A4"/>
    <w:rsid w:val="00AF076F"/>
    <w:rsid w:val="00AF2400"/>
    <w:rsid w:val="00B13CE4"/>
    <w:rsid w:val="00B53BC9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261C"/>
    <w:rsid w:val="00C603B2"/>
    <w:rsid w:val="00C736DD"/>
    <w:rsid w:val="00C83708"/>
    <w:rsid w:val="00C86308"/>
    <w:rsid w:val="00D31F0C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65</cp:revision>
  <cp:lastPrinted>2015-10-07T04:22:00Z</cp:lastPrinted>
  <dcterms:created xsi:type="dcterms:W3CDTF">2015-06-22T02:08:00Z</dcterms:created>
  <dcterms:modified xsi:type="dcterms:W3CDTF">2015-10-07T08:38:00Z</dcterms:modified>
</cp:coreProperties>
</file>