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D93FE9" w:rsidRPr="00DE4929" w:rsidTr="00D93FE9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DE4929">
              <w:rPr>
                <w:rFonts w:asciiTheme="majorHAnsi" w:hAnsiTheme="majorHAnsi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1824" behindDoc="0" locked="0" layoutInCell="1" allowOverlap="1" wp14:anchorId="20D3BC36" wp14:editId="75E8322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  <w:lang w:val="id-ID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DE4929">
              <w:rPr>
                <w:rFonts w:asciiTheme="majorHAnsi" w:hAnsiTheme="majorHAnsi"/>
                <w:b/>
                <w:color w:val="000000"/>
              </w:rPr>
              <w:t>KEMENTERIAN AGAMA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sz w:val="18"/>
                <w:szCs w:val="20"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lang w:val="id-ID"/>
              </w:rPr>
              <w:t>Jalan Gajayana 50, Malang 65144 Telepon (0341) 551354 Faks (0341) 572533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Website: </w:t>
            </w:r>
            <w:hyperlink r:id="rId10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E-mail: </w:t>
            </w:r>
            <w:hyperlink r:id="rId11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854294" w:rsidRPr="00105338" w:rsidRDefault="000F0784" w:rsidP="00AC071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id-ID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B47E01">
        <w:rPr>
          <w:rFonts w:ascii="Cambria" w:hAnsi="Cambria"/>
          <w:color w:val="000000"/>
          <w:sz w:val="22"/>
          <w:szCs w:val="22"/>
          <w:lang w:val="id-ID"/>
        </w:rPr>
        <w:t xml:space="preserve">  </w:t>
      </w:r>
      <w:r w:rsidR="00105338">
        <w:rPr>
          <w:rFonts w:ascii="Cambria" w:hAnsi="Cambria"/>
          <w:sz w:val="22"/>
          <w:szCs w:val="22"/>
        </w:rPr>
        <w:t>Un.03/KS.01.7/</w:t>
      </w:r>
      <w:r w:rsidR="00AC0719">
        <w:rPr>
          <w:rFonts w:ascii="Cambria" w:hAnsi="Cambria"/>
          <w:sz w:val="22"/>
          <w:szCs w:val="22"/>
          <w:lang w:val="id-ID"/>
        </w:rPr>
        <w:t>1303</w:t>
      </w:r>
      <w:r w:rsidR="00105338">
        <w:rPr>
          <w:rFonts w:ascii="Cambria" w:hAnsi="Cambria"/>
          <w:sz w:val="22"/>
          <w:szCs w:val="22"/>
        </w:rPr>
        <w:t>/2017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D93FE9"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105338">
        <w:rPr>
          <w:rFonts w:ascii="Cambria" w:hAnsi="Cambria"/>
          <w:color w:val="000000"/>
          <w:sz w:val="22"/>
          <w:szCs w:val="22"/>
        </w:rPr>
        <w:t>0</w:t>
      </w:r>
      <w:r w:rsidR="00AC0719">
        <w:rPr>
          <w:rFonts w:ascii="Cambria" w:hAnsi="Cambria"/>
          <w:color w:val="000000"/>
          <w:sz w:val="22"/>
          <w:szCs w:val="22"/>
          <w:lang w:val="id-ID"/>
        </w:rPr>
        <w:t>5</w:t>
      </w:r>
      <w:r w:rsidR="00105338">
        <w:rPr>
          <w:rFonts w:ascii="Cambria" w:hAnsi="Cambria"/>
          <w:color w:val="000000"/>
          <w:sz w:val="22"/>
          <w:szCs w:val="22"/>
        </w:rPr>
        <w:t xml:space="preserve"> April</w:t>
      </w:r>
      <w:r>
        <w:rPr>
          <w:rFonts w:ascii="Cambria" w:hAnsi="Cambria"/>
          <w:color w:val="000000"/>
          <w:sz w:val="22"/>
          <w:szCs w:val="22"/>
        </w:rPr>
        <w:t xml:space="preserve"> 201</w:t>
      </w:r>
      <w:r w:rsidR="00105338">
        <w:rPr>
          <w:rFonts w:ascii="Cambria" w:hAnsi="Cambria"/>
          <w:color w:val="000000"/>
          <w:sz w:val="22"/>
          <w:szCs w:val="22"/>
          <w:lang w:val="id-ID"/>
        </w:rPr>
        <w:t>7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Lampiran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54294" w:rsidRDefault="008542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54294" w:rsidRDefault="000F078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di</w:t>
      </w:r>
      <w:proofErr w:type="gramEnd"/>
    </w:p>
    <w:p w:rsidR="00854294" w:rsidRDefault="000F078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54294" w:rsidRDefault="00854294">
      <w:pPr>
        <w:ind w:left="1996" w:firstLine="164"/>
        <w:rPr>
          <w:rFonts w:ascii="Cambria" w:hAnsi="Cambria"/>
          <w:sz w:val="22"/>
          <w:szCs w:val="22"/>
        </w:rPr>
      </w:pPr>
    </w:p>
    <w:p w:rsidR="00854294" w:rsidRDefault="00854294">
      <w:pPr>
        <w:rPr>
          <w:rFonts w:ascii="Cambria" w:hAnsi="Cambria"/>
          <w:sz w:val="22"/>
          <w:szCs w:val="22"/>
        </w:rPr>
      </w:pP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 w:rsidR="007C6E19"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D93FE9">
        <w:rPr>
          <w:rFonts w:ascii="Cambria" w:hAnsi="Cambria" w:cs="Calibri"/>
          <w:b/>
          <w:i/>
          <w:iCs/>
          <w:sz w:val="22"/>
          <w:szCs w:val="22"/>
        </w:rPr>
        <w:t>Buku</w:t>
      </w:r>
      <w:proofErr w:type="spellEnd"/>
      <w:r w:rsidR="00D93FE9">
        <w:rPr>
          <w:rFonts w:ascii="Cambria" w:hAnsi="Cambria" w:cs="Calibri"/>
          <w:b/>
          <w:i/>
          <w:iCs/>
          <w:sz w:val="22"/>
          <w:szCs w:val="22"/>
        </w:rPr>
        <w:t xml:space="preserve"> Ajar </w:t>
      </w:r>
      <w:proofErr w:type="spellStart"/>
      <w:r w:rsidR="00D93FE9">
        <w:rPr>
          <w:rFonts w:ascii="Cambria" w:hAnsi="Cambria" w:cs="Calibri"/>
          <w:b/>
          <w:i/>
          <w:iCs/>
          <w:sz w:val="22"/>
          <w:szCs w:val="22"/>
        </w:rPr>
        <w:t>Bahasa</w:t>
      </w:r>
      <w:proofErr w:type="spellEnd"/>
      <w:r w:rsidR="00D93FE9">
        <w:rPr>
          <w:rFonts w:ascii="Cambria" w:hAnsi="Cambria" w:cs="Calibri"/>
          <w:b/>
          <w:i/>
          <w:iCs/>
          <w:sz w:val="22"/>
          <w:szCs w:val="22"/>
        </w:rPr>
        <w:t xml:space="preserve"> Arab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</w:t>
      </w:r>
      <w:proofErr w:type="spellStart"/>
      <w:r>
        <w:rPr>
          <w:rFonts w:ascii="Cambria" w:hAnsi="Cambria"/>
          <w:b/>
          <w:i/>
        </w:rPr>
        <w:t>Maulana</w:t>
      </w:r>
      <w:proofErr w:type="spellEnd"/>
      <w:r>
        <w:rPr>
          <w:rFonts w:ascii="Cambria" w:hAnsi="Cambria"/>
          <w:b/>
          <w:i/>
        </w:rPr>
        <w:t xml:space="preserve">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:rsidR="00AC0719" w:rsidRPr="00D00754" w:rsidRDefault="00AC0719" w:rsidP="00AC0719">
      <w:pPr>
        <w:spacing w:before="120"/>
        <w:rPr>
          <w:rFonts w:ascii="Cambria" w:hAnsi="Cambria"/>
          <w:lang w:val="id-ID"/>
        </w:rPr>
      </w:pPr>
      <w:r w:rsidRPr="00E01235">
        <w:rPr>
          <w:rFonts w:ascii="Cambria" w:hAnsi="Cambria"/>
          <w:lang w:val="id-ID"/>
        </w:rPr>
        <w:t xml:space="preserve">Informasi harga yang saudara </w:t>
      </w:r>
      <w:proofErr w:type="spellStart"/>
      <w:r w:rsidRPr="00E01235">
        <w:rPr>
          <w:rFonts w:ascii="Cambria" w:hAnsi="Cambria"/>
        </w:rPr>
        <w:t>berikan</w:t>
      </w:r>
      <w:proofErr w:type="spellEnd"/>
      <w:r w:rsidRPr="00E01235">
        <w:rPr>
          <w:rFonts w:ascii="Cambria" w:hAnsi="Cambria"/>
        </w:rPr>
        <w:t xml:space="preserve">, </w:t>
      </w:r>
      <w:r w:rsidRPr="00E01235">
        <w:rPr>
          <w:rFonts w:ascii="Cambria" w:hAnsi="Cambria"/>
          <w:lang w:val="id-ID"/>
        </w:rPr>
        <w:t>akan kami jadikan sebagai dasar pembuatan H</w:t>
      </w:r>
      <w:r>
        <w:rPr>
          <w:rFonts w:ascii="Cambria" w:hAnsi="Cambria"/>
          <w:lang w:val="id-ID"/>
        </w:rPr>
        <w:t xml:space="preserve">arga </w:t>
      </w:r>
      <w:r w:rsidRPr="00E01235">
        <w:rPr>
          <w:rFonts w:ascii="Cambria" w:hAnsi="Cambria"/>
          <w:lang w:val="id-ID"/>
        </w:rPr>
        <w:t>P</w:t>
      </w:r>
      <w:r>
        <w:rPr>
          <w:rFonts w:ascii="Cambria" w:hAnsi="Cambria"/>
          <w:lang w:val="id-ID"/>
        </w:rPr>
        <w:t xml:space="preserve">erkiraan </w:t>
      </w:r>
      <w:r w:rsidRPr="00E01235">
        <w:rPr>
          <w:rFonts w:ascii="Cambria" w:hAnsi="Cambria"/>
          <w:lang w:val="id-ID"/>
        </w:rPr>
        <w:t>S</w:t>
      </w:r>
      <w:r>
        <w:rPr>
          <w:rFonts w:ascii="Cambria" w:hAnsi="Cambria"/>
          <w:lang w:val="id-ID"/>
        </w:rPr>
        <w:t>endiri (HPS)</w:t>
      </w:r>
      <w:r w:rsidRPr="00E01235">
        <w:rPr>
          <w:rFonts w:ascii="Cambria" w:hAnsi="Cambria"/>
          <w:lang w:val="id-ID"/>
        </w:rPr>
        <w:t xml:space="preserve"> lelang. Dan apabila informasi harga yang saudara berikan dibawah nilai lelang, maka kami akan melakukan klarifikasi lebih lanjut atas penawaran tersebut</w:t>
      </w:r>
      <w:r w:rsidRPr="00D00754">
        <w:rPr>
          <w:rFonts w:ascii="Cambria" w:hAnsi="Cambria"/>
          <w:lang w:val="id-ID"/>
        </w:rPr>
        <w:t>.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pada</w:t>
      </w:r>
      <w:proofErr w:type="spellEnd"/>
      <w:r>
        <w:rPr>
          <w:rFonts w:ascii="Cambria" w:hAnsi="Cambria"/>
        </w:rPr>
        <w:t xml:space="preserve"> :</w:t>
      </w:r>
      <w:proofErr w:type="gramEnd"/>
    </w:p>
    <w:p w:rsidR="00854294" w:rsidRDefault="007C6E19" w:rsidP="00D93FE9">
      <w:pPr>
        <w:spacing w:before="120"/>
        <w:rPr>
          <w:rFonts w:ascii="Cambria" w:hAnsi="Cambria"/>
        </w:rPr>
      </w:pP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 w:rsidR="003B3502">
        <w:rPr>
          <w:rFonts w:ascii="Cambria" w:hAnsi="Cambria"/>
        </w:rPr>
        <w:t>Jumat</w:t>
      </w:r>
      <w:proofErr w:type="spellEnd"/>
    </w:p>
    <w:p w:rsidR="00854294" w:rsidRPr="003B3502" w:rsidRDefault="000F0784">
      <w:pPr>
        <w:rPr>
          <w:rFonts w:ascii="Cambria" w:hAnsi="Cambria"/>
          <w:lang w:val="id-ID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3B3502">
        <w:rPr>
          <w:rFonts w:ascii="Cambria" w:hAnsi="Cambria"/>
          <w:lang w:val="id-ID"/>
        </w:rPr>
        <w:t>07 April 2017</w:t>
      </w:r>
    </w:p>
    <w:p w:rsidR="00854294" w:rsidRDefault="000F0784" w:rsidP="00D93FE9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D93FE9">
        <w:rPr>
          <w:rFonts w:ascii="Cambria" w:hAnsi="Cambria"/>
        </w:rPr>
        <w:t>1</w:t>
      </w:r>
      <w:r w:rsidR="003B3502">
        <w:rPr>
          <w:rFonts w:ascii="Cambria" w:hAnsi="Cambria"/>
          <w:lang w:val="id-ID"/>
        </w:rPr>
        <w:t>1</w:t>
      </w:r>
      <w:r>
        <w:rPr>
          <w:rFonts w:ascii="Cambria" w:hAnsi="Cambria"/>
        </w:rPr>
        <w:t>.00 WIB</w:t>
      </w:r>
    </w:p>
    <w:p w:rsidR="00854294" w:rsidRDefault="000F0784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</w:t>
      </w:r>
      <w:proofErr w:type="spellStart"/>
      <w:r>
        <w:rPr>
          <w:rFonts w:ascii="Cambria" w:hAnsi="Cambria"/>
        </w:rPr>
        <w:t>Gedung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 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</w:rPr>
      </w:pPr>
      <w:proofErr w:type="spellStart"/>
      <w:r>
        <w:rPr>
          <w:rFonts w:ascii="Cambria" w:hAnsi="Cambria"/>
          <w:color w:val="000000"/>
        </w:rPr>
        <w:t>Adapun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harga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tersebut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via e-mail </w:t>
      </w:r>
      <w:proofErr w:type="spellStart"/>
      <w:proofErr w:type="gram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:</w:t>
      </w:r>
      <w:proofErr w:type="gramEnd"/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ulpuinmaliki@gmail.com</w:t>
      </w:r>
      <w:hyperlink r:id="rId12" w:history="1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hyperlink r:id="rId13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dikirim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langsung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kantor</w:t>
      </w:r>
      <w:proofErr w:type="spellEnd"/>
      <w:r>
        <w:rPr>
          <w:rFonts w:ascii="Cambria" w:hAnsi="Cambria"/>
          <w:color w:val="000000"/>
        </w:rPr>
        <w:t xml:space="preserve"> ULP </w:t>
      </w:r>
      <w:proofErr w:type="spellStart"/>
      <w:r>
        <w:rPr>
          <w:rFonts w:ascii="Cambria" w:hAnsi="Cambria"/>
          <w:color w:val="000000"/>
        </w:rPr>
        <w:t>atau</w:t>
      </w:r>
      <w:proofErr w:type="spellEnd"/>
      <w:r>
        <w:rPr>
          <w:rFonts w:ascii="Cambria" w:hAnsi="Cambria"/>
          <w:color w:val="000000"/>
        </w:rPr>
        <w:t xml:space="preserve"> di Fax </w:t>
      </w:r>
      <w:proofErr w:type="spellStart"/>
      <w:r>
        <w:rPr>
          <w:rFonts w:ascii="Cambria" w:hAnsi="Cambria"/>
          <w:color w:val="000000"/>
        </w:rPr>
        <w:t>ke</w:t>
      </w:r>
      <w:proofErr w:type="spellEnd"/>
      <w:r>
        <w:rPr>
          <w:rFonts w:ascii="Cambria" w:hAnsi="Cambria"/>
          <w:color w:val="000000"/>
        </w:rPr>
        <w:t xml:space="preserve"> (</w:t>
      </w:r>
      <w:r>
        <w:rPr>
          <w:rFonts w:ascii="Cambria" w:hAnsi="Cambria"/>
        </w:rPr>
        <w:t>0341) 570886/569901</w:t>
      </w:r>
    </w:p>
    <w:p w:rsidR="00854294" w:rsidRDefault="000F0784">
      <w:pPr>
        <w:spacing w:before="12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Demikian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perhatian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kerjasamanya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baik</w:t>
      </w:r>
      <w:proofErr w:type="spellEnd"/>
      <w:r>
        <w:rPr>
          <w:rFonts w:ascii="Cambria" w:hAnsi="Cambria"/>
        </w:rPr>
        <w:t xml:space="preserve">, kami </w:t>
      </w:r>
      <w:proofErr w:type="spellStart"/>
      <w:r>
        <w:rPr>
          <w:rFonts w:ascii="Cambria" w:hAnsi="Cambria"/>
        </w:rPr>
        <w:t>sampaikan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  <w:proofErr w:type="gramEnd"/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  <w:lang w:val="id-ID"/>
        </w:rPr>
      </w:pPr>
    </w:p>
    <w:p w:rsidR="00504B00" w:rsidRPr="00504B00" w:rsidRDefault="00504B00">
      <w:pPr>
        <w:ind w:left="5041" w:firstLine="720"/>
        <w:rPr>
          <w:rFonts w:ascii="Cambria" w:hAnsi="Cambria"/>
          <w:lang w:val="id-ID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NIP </w:t>
      </w:r>
      <w:r w:rsidR="00D93FE9">
        <w:rPr>
          <w:rFonts w:ascii="Cambria" w:hAnsi="Cambria"/>
        </w:rPr>
        <w:t>19690526 200003 1 003</w:t>
      </w:r>
    </w:p>
    <w:p w:rsidR="00854294" w:rsidRDefault="00854294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B72A2D" w:rsidRDefault="00B72A2D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0F0784">
      <w:pPr>
        <w:ind w:left="5670" w:hanging="1350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Lampiran</w:t>
      </w:r>
      <w:proofErr w:type="spellEnd"/>
      <w:r>
        <w:rPr>
          <w:rFonts w:ascii="Cambria" w:hAnsi="Cambria"/>
          <w:sz w:val="22"/>
          <w:szCs w:val="22"/>
        </w:rPr>
        <w:tab/>
      </w:r>
      <w:r w:rsidR="00504B00">
        <w:rPr>
          <w:rFonts w:ascii="Cambria" w:hAnsi="Cambria"/>
          <w:sz w:val="22"/>
          <w:szCs w:val="22"/>
          <w:lang w:val="id-ID"/>
        </w:rPr>
        <w:t xml:space="preserve">  </w:t>
      </w:r>
      <w:r>
        <w:rPr>
          <w:rFonts w:ascii="Cambria" w:hAnsi="Cambria"/>
          <w:sz w:val="22"/>
          <w:szCs w:val="22"/>
        </w:rPr>
        <w:t xml:space="preserve">: </w:t>
      </w:r>
      <w:proofErr w:type="spellStart"/>
      <w:r>
        <w:rPr>
          <w:rFonts w:ascii="Cambria" w:hAnsi="Cambria"/>
          <w:sz w:val="22"/>
          <w:szCs w:val="22"/>
        </w:rPr>
        <w:t>Surat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Permintaan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Informasi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Harga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854294" w:rsidRDefault="007C6E19" w:rsidP="00AC0719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Nomor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</w:t>
      </w:r>
      <w:r w:rsidR="00105338">
        <w:rPr>
          <w:rFonts w:ascii="Cambria" w:hAnsi="Cambria"/>
          <w:sz w:val="22"/>
          <w:szCs w:val="22"/>
        </w:rPr>
        <w:t>Un.03/KS.01.7/</w:t>
      </w:r>
      <w:r w:rsidR="00AC0719">
        <w:rPr>
          <w:rFonts w:ascii="Cambria" w:hAnsi="Cambria"/>
          <w:sz w:val="22"/>
          <w:szCs w:val="22"/>
          <w:lang w:val="id-ID"/>
        </w:rPr>
        <w:t>1303</w:t>
      </w:r>
      <w:r w:rsidR="00105338">
        <w:rPr>
          <w:rFonts w:ascii="Cambria" w:hAnsi="Cambria"/>
          <w:sz w:val="22"/>
          <w:szCs w:val="22"/>
        </w:rPr>
        <w:t>/2017</w:t>
      </w:r>
    </w:p>
    <w:p w:rsidR="00854294" w:rsidRDefault="000F0784" w:rsidP="00AC0719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Tanggal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 xml:space="preserve">: </w:t>
      </w:r>
      <w:r w:rsidR="003B3502">
        <w:rPr>
          <w:rFonts w:ascii="Cambria" w:hAnsi="Cambria"/>
          <w:lang w:val="id-ID"/>
        </w:rPr>
        <w:t>0</w:t>
      </w:r>
      <w:r w:rsidR="00AC0719">
        <w:rPr>
          <w:rFonts w:ascii="Cambria" w:hAnsi="Cambria"/>
          <w:lang w:val="id-ID"/>
        </w:rPr>
        <w:t>5</w:t>
      </w:r>
      <w:bookmarkStart w:id="0" w:name="_GoBack"/>
      <w:bookmarkEnd w:id="0"/>
      <w:r w:rsidR="003B3502">
        <w:rPr>
          <w:rFonts w:ascii="Cambria" w:hAnsi="Cambria"/>
          <w:lang w:val="id-ID"/>
        </w:rPr>
        <w:t xml:space="preserve"> April 2017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0F078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proofErr w:type="spellStart"/>
      <w:proofErr w:type="gramStart"/>
      <w:r>
        <w:rPr>
          <w:rFonts w:ascii="Cambria" w:hAnsi="Cambria"/>
          <w:b/>
        </w:rPr>
        <w:t>Rincian</w:t>
      </w:r>
      <w:proofErr w:type="spellEnd"/>
      <w:r>
        <w:rPr>
          <w:rFonts w:ascii="Cambria" w:hAnsi="Cambria"/>
          <w:b/>
        </w:rPr>
        <w:t xml:space="preserve">  </w:t>
      </w:r>
      <w:proofErr w:type="spellStart"/>
      <w:r>
        <w:rPr>
          <w:rFonts w:ascii="Cambria" w:hAnsi="Cambria"/>
          <w:b/>
        </w:rPr>
        <w:t>Anggaran</w:t>
      </w:r>
      <w:proofErr w:type="spellEnd"/>
      <w:proofErr w:type="gram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Biaya</w:t>
      </w:r>
      <w:proofErr w:type="spellEnd"/>
      <w:r>
        <w:rPr>
          <w:rFonts w:ascii="Cambria" w:hAnsi="Cambria"/>
          <w:b/>
        </w:rPr>
        <w:t xml:space="preserve"> (RAB)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854294" w:rsidRDefault="000F0784"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proofErr w:type="spellStart"/>
      <w:r w:rsidR="003B3502">
        <w:rPr>
          <w:rFonts w:ascii="Cambria" w:hAnsi="Cambria" w:cs="Calibri"/>
          <w:b/>
          <w:i/>
          <w:iCs/>
          <w:sz w:val="22"/>
          <w:szCs w:val="22"/>
        </w:rPr>
        <w:t>Buku</w:t>
      </w:r>
      <w:proofErr w:type="spellEnd"/>
      <w:r w:rsidR="003B3502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gramStart"/>
      <w:r w:rsidR="003B3502">
        <w:rPr>
          <w:rFonts w:ascii="Cambria" w:hAnsi="Cambria" w:cs="Calibri"/>
          <w:b/>
          <w:i/>
          <w:iCs/>
          <w:sz w:val="22"/>
          <w:szCs w:val="22"/>
        </w:rPr>
        <w:t>Ajar</w:t>
      </w:r>
      <w:proofErr w:type="gramEnd"/>
      <w:r w:rsidR="003B3502"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 w:rsidR="003B3502">
        <w:rPr>
          <w:rFonts w:ascii="Cambria" w:hAnsi="Cambria" w:cs="Calibri"/>
          <w:b/>
          <w:i/>
          <w:iCs/>
          <w:sz w:val="22"/>
          <w:szCs w:val="22"/>
        </w:rPr>
        <w:t>Bahasa</w:t>
      </w:r>
      <w:proofErr w:type="spellEnd"/>
      <w:r w:rsidR="003B3502">
        <w:rPr>
          <w:rFonts w:ascii="Cambria" w:hAnsi="Cambria" w:cs="Calibri"/>
          <w:b/>
          <w:i/>
          <w:iCs/>
          <w:sz w:val="22"/>
          <w:szCs w:val="22"/>
        </w:rPr>
        <w:t xml:space="preserve"> Arab</w:t>
      </w:r>
    </w:p>
    <w:p w:rsidR="00854294" w:rsidRPr="003C50D3" w:rsidRDefault="000F0784">
      <w:pPr>
        <w:tabs>
          <w:tab w:val="left" w:pos="900"/>
          <w:tab w:val="left" w:pos="1985"/>
        </w:tabs>
        <w:rPr>
          <w:rFonts w:ascii="Cambria" w:hAnsi="Cambria"/>
          <w:b/>
        </w:rPr>
      </w:pPr>
      <w:proofErr w:type="spellStart"/>
      <w:r>
        <w:rPr>
          <w:rFonts w:ascii="Cambria" w:hAnsi="Cambria"/>
        </w:rPr>
        <w:t>Lokasi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proofErr w:type="spellStart"/>
      <w:r w:rsidR="00D93FE9">
        <w:rPr>
          <w:rFonts w:ascii="Cambria" w:hAnsi="Cambria"/>
          <w:b/>
        </w:rPr>
        <w:t>Pusat</w:t>
      </w:r>
      <w:proofErr w:type="spellEnd"/>
      <w:r w:rsidR="00D93FE9">
        <w:rPr>
          <w:rFonts w:ascii="Cambria" w:hAnsi="Cambria"/>
          <w:b/>
        </w:rPr>
        <w:t xml:space="preserve"> </w:t>
      </w:r>
      <w:proofErr w:type="spellStart"/>
      <w:r w:rsidR="00D93FE9">
        <w:rPr>
          <w:rFonts w:ascii="Cambria" w:hAnsi="Cambria"/>
          <w:b/>
        </w:rPr>
        <w:t>Pengembangan</w:t>
      </w:r>
      <w:proofErr w:type="spellEnd"/>
      <w:r w:rsidR="00D93FE9">
        <w:rPr>
          <w:rFonts w:ascii="Cambria" w:hAnsi="Cambria"/>
          <w:b/>
        </w:rPr>
        <w:t xml:space="preserve"> </w:t>
      </w:r>
      <w:proofErr w:type="spellStart"/>
      <w:r w:rsidR="00D93FE9">
        <w:rPr>
          <w:rFonts w:ascii="Cambria" w:hAnsi="Cambria"/>
          <w:b/>
        </w:rPr>
        <w:t>Bahasa</w:t>
      </w:r>
      <w:proofErr w:type="spellEnd"/>
      <w:r w:rsidR="003C50D3">
        <w:rPr>
          <w:rFonts w:ascii="Cambria" w:hAnsi="Cambria"/>
          <w:b/>
          <w:lang w:val="id-ID"/>
        </w:rPr>
        <w:t xml:space="preserve"> </w:t>
      </w:r>
      <w:r>
        <w:rPr>
          <w:rFonts w:ascii="Cambria" w:hAnsi="Cambria"/>
          <w:b/>
        </w:rPr>
        <w:t xml:space="preserve">UIN </w:t>
      </w:r>
      <w:proofErr w:type="spellStart"/>
      <w:r>
        <w:rPr>
          <w:rFonts w:ascii="Cambria" w:hAnsi="Cambria"/>
          <w:b/>
        </w:rPr>
        <w:t>Maulana</w:t>
      </w:r>
      <w:proofErr w:type="spellEnd"/>
      <w:r>
        <w:rPr>
          <w:rFonts w:ascii="Cambria" w:hAnsi="Cambria"/>
          <w:b/>
        </w:rPr>
        <w:t xml:space="preserve"> Malik Ibrahim Malang</w:t>
      </w:r>
    </w:p>
    <w:p w:rsidR="00854294" w:rsidRPr="003B3502" w:rsidRDefault="000F0784">
      <w:pPr>
        <w:tabs>
          <w:tab w:val="left" w:pos="1985"/>
        </w:tabs>
        <w:rPr>
          <w:rFonts w:ascii="Cambria" w:hAnsi="Cambria"/>
          <w:b/>
          <w:lang w:val="id-ID"/>
        </w:rPr>
      </w:pP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201</w:t>
      </w:r>
      <w:r w:rsidR="003B3502">
        <w:rPr>
          <w:rFonts w:ascii="Cambria" w:hAnsi="Cambria"/>
          <w:b/>
          <w:lang w:val="id-ID"/>
        </w:rPr>
        <w:t>7</w:t>
      </w: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Style w:val="TableGrid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8"/>
        <w:gridCol w:w="4232"/>
        <w:gridCol w:w="1842"/>
        <w:gridCol w:w="1134"/>
        <w:gridCol w:w="1560"/>
      </w:tblGrid>
      <w:tr w:rsidR="00E57728" w:rsidRPr="00DD63A1" w:rsidTr="00DD63A1">
        <w:trPr>
          <w:trHeight w:val="516"/>
        </w:trPr>
        <w:tc>
          <w:tcPr>
            <w:tcW w:w="588" w:type="dxa"/>
            <w:shd w:val="clear" w:color="auto" w:fill="A6A6A6" w:themeFill="background1" w:themeFillShade="A6"/>
            <w:vAlign w:val="center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4232" w:type="dxa"/>
            <w:shd w:val="clear" w:color="auto" w:fill="A6A6A6" w:themeFill="background1" w:themeFillShade="A6"/>
            <w:vAlign w:val="center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 xml:space="preserve">TOTAL </w:t>
            </w:r>
          </w:p>
          <w:p w:rsidR="00E57728" w:rsidRPr="00DD63A1" w:rsidRDefault="00E57728" w:rsidP="006A7C4B">
            <w:pPr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>(Rp)</w:t>
            </w:r>
          </w:p>
        </w:tc>
      </w:tr>
      <w:tr w:rsidR="00E57728" w:rsidRPr="00DD63A1" w:rsidTr="006A7C4B">
        <w:tc>
          <w:tcPr>
            <w:tcW w:w="588" w:type="dxa"/>
            <w:vMerge w:val="restart"/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4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II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280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AC0719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3.0</w:t>
            </w:r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00</w:t>
            </w:r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eksemplar</w:t>
            </w:r>
          </w:p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/>
            <w:tcBorders>
              <w:bottom w:val="nil"/>
            </w:tcBorders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4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Ajar bahasa arab Jilid I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I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lil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muallim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282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halaman</w:t>
            </w:r>
            <w:proofErr w:type="spellEnd"/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100 </w:t>
            </w:r>
            <w:proofErr w:type="spellStart"/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eksemplar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 w:val="restart"/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5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III 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258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AC0719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4.000</w:t>
            </w:r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eksemplar</w:t>
            </w:r>
          </w:p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/>
            <w:tcBorders>
              <w:bottom w:val="nil"/>
            </w:tcBorders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5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Ajar bahasa arab Jilid I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II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304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Halaman</w:t>
            </w:r>
            <w:proofErr w:type="spellEnd"/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100 </w:t>
            </w:r>
            <w:proofErr w:type="spellStart"/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eksemplar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 w:val="restart"/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6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Buku A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jar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bahasa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arab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DD63A1">
              <w:rPr>
                <w:rFonts w:asciiTheme="majorHAnsi" w:hAnsiTheme="majorHAnsi"/>
                <w:sz w:val="22"/>
                <w:szCs w:val="22"/>
              </w:rPr>
              <w:t>Jilid</w:t>
            </w:r>
            <w:proofErr w:type="spellEnd"/>
            <w:r w:rsidRPr="00DD63A1">
              <w:rPr>
                <w:rFonts w:asciiTheme="majorHAnsi" w:hAnsiTheme="majorHAnsi"/>
                <w:sz w:val="22"/>
                <w:szCs w:val="22"/>
              </w:rPr>
              <w:t xml:space="preserve"> IV 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232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AC0719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2.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</w:t>
            </w:r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00</w:t>
            </w:r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 xml:space="preserve"> eksemplar</w:t>
            </w:r>
          </w:p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588" w:type="dxa"/>
            <w:vMerge/>
            <w:tcBorders>
              <w:bottom w:val="nil"/>
            </w:tcBorders>
          </w:tcPr>
          <w:p w:rsidR="00E57728" w:rsidRPr="00DD63A1" w:rsidRDefault="00E57728" w:rsidP="006A7C4B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32" w:type="dxa"/>
          </w:tcPr>
          <w:p w:rsidR="00E57728" w:rsidRPr="00DD63A1" w:rsidRDefault="00E57728" w:rsidP="00E57728">
            <w:pPr>
              <w:numPr>
                <w:ilvl w:val="0"/>
                <w:numId w:val="6"/>
              </w:numPr>
              <w:ind w:left="438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Buku Ajar bahasa arab Jilid 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IV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lil muallim: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ind w:left="438" w:hanging="283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</w:rPr>
              <w:t xml:space="preserve">245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1842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:rsidR="00E57728" w:rsidRPr="00DD63A1" w:rsidRDefault="00E57728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 100 </w:t>
            </w:r>
            <w:proofErr w:type="spellStart"/>
            <w:r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eksemplar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nil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</w:tr>
      <w:tr w:rsidR="00E57728" w:rsidRPr="00DD63A1" w:rsidTr="006A7C4B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E57728" w:rsidRPr="00DD63A1" w:rsidRDefault="00E57728" w:rsidP="006A7C4B">
            <w:pPr>
              <w:ind w:left="438"/>
              <w:contextualSpacing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57728" w:rsidRPr="00DD63A1" w:rsidRDefault="00AC0719" w:rsidP="006A7C4B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9.800</w:t>
            </w:r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57728" w:rsidRPr="00DD63A1">
              <w:rPr>
                <w:rFonts w:asciiTheme="majorHAnsi" w:hAnsiTheme="majorHAnsi" w:cs="Calibri"/>
                <w:color w:val="000000"/>
                <w:sz w:val="22"/>
                <w:szCs w:val="22"/>
              </w:rPr>
              <w:t>eksemplar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E57728" w:rsidRPr="00DD63A1" w:rsidRDefault="00E57728" w:rsidP="006A7C4B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eastAsia="id-ID"/>
              </w:rPr>
            </w:pPr>
          </w:p>
        </w:tc>
      </w:tr>
      <w:tr w:rsidR="00E57728" w:rsidRPr="00DD63A1" w:rsidTr="006A7C4B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Master dan plate tanggung jawab penyedia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Ukuran 2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 xml:space="preserve">0 cm 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x 2</w:t>
            </w:r>
            <w:r w:rsidRPr="00DD63A1">
              <w:rPr>
                <w:rFonts w:asciiTheme="majorHAnsi" w:hAnsiTheme="majorHAnsi"/>
                <w:sz w:val="22"/>
                <w:szCs w:val="22"/>
              </w:rPr>
              <w:t>6,5</w:t>
            </w: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cm;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Cover Art Papper 230 gram full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Color, laminasi glossy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Kertas isi HVS 80 Gram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Cetakan all sheetfed printing, full color (isi dan cover)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Finishing binding lem panas + jahit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Shrink</w:t>
            </w:r>
          </w:p>
          <w:p w:rsidR="00E57728" w:rsidRPr="00DD63A1" w:rsidRDefault="00E57728" w:rsidP="00E57728">
            <w:pPr>
              <w:numPr>
                <w:ilvl w:val="0"/>
                <w:numId w:val="3"/>
              </w:numPr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D63A1">
              <w:rPr>
                <w:rFonts w:asciiTheme="majorHAnsi" w:hAnsiTheme="majorHAnsi"/>
                <w:sz w:val="22"/>
                <w:szCs w:val="22"/>
                <w:lang w:val="id-ID"/>
              </w:rPr>
              <w:t>Proofing 2 X</w:t>
            </w:r>
          </w:p>
        </w:tc>
      </w:tr>
      <w:tr w:rsidR="00E57728" w:rsidRPr="00DD63A1" w:rsidTr="006A7C4B"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728" w:rsidRPr="00DD63A1" w:rsidRDefault="00E57728" w:rsidP="006A7C4B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</w:tbl>
    <w:p w:rsidR="00D93FE9" w:rsidRPr="00F04D5C" w:rsidRDefault="00476489">
      <w:pPr>
        <w:tabs>
          <w:tab w:val="left" w:pos="1985"/>
        </w:tabs>
        <w:rPr>
          <w:rFonts w:ascii="Cambria" w:hAnsi="Cambria"/>
          <w:bCs/>
          <w:sz w:val="18"/>
          <w:szCs w:val="18"/>
          <w:lang w:val="id-ID"/>
        </w:rPr>
      </w:pPr>
      <w:proofErr w:type="gramStart"/>
      <w:r w:rsidRPr="00476489">
        <w:rPr>
          <w:rFonts w:ascii="Cambria" w:hAnsi="Cambria"/>
          <w:bCs/>
          <w:sz w:val="18"/>
          <w:szCs w:val="18"/>
        </w:rPr>
        <w:t>NB :</w:t>
      </w:r>
      <w:proofErr w:type="gram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Harga</w:t>
      </w:r>
      <w:proofErr w:type="spell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sudah</w:t>
      </w:r>
      <w:proofErr w:type="spell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termasuk</w:t>
      </w:r>
      <w:proofErr w:type="spellEnd"/>
      <w:r w:rsidRPr="00476489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476489">
        <w:rPr>
          <w:rFonts w:ascii="Cambria" w:hAnsi="Cambria"/>
          <w:bCs/>
          <w:sz w:val="18"/>
          <w:szCs w:val="18"/>
        </w:rPr>
        <w:t>pajak</w:t>
      </w:r>
      <w:proofErr w:type="spellEnd"/>
      <w:r w:rsidR="00F04D5C">
        <w:rPr>
          <w:rFonts w:ascii="Cambria" w:hAnsi="Cambria"/>
          <w:bCs/>
          <w:sz w:val="18"/>
          <w:szCs w:val="18"/>
          <w:lang w:val="id-ID"/>
        </w:rPr>
        <w:t xml:space="preserve"> dan biaya kirim</w:t>
      </w:r>
    </w:p>
    <w:p w:rsidR="00476489" w:rsidRDefault="00476489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 w:rsidR="00854294" w:rsidRDefault="00854294">
      <w:pPr>
        <w:spacing w:before="1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proofErr w:type="spellStart"/>
      <w:r>
        <w:rPr>
          <w:rFonts w:ascii="Cambria" w:hAnsi="Cambria"/>
        </w:rPr>
        <w:t>Pejabat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Komitmen</w:t>
      </w:r>
      <w:proofErr w:type="spellEnd"/>
      <w:r>
        <w:rPr>
          <w:rFonts w:ascii="Cambria" w:hAnsi="Cambria"/>
        </w:rPr>
        <w:t>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Dr.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M.Pd</w:t>
      </w:r>
      <w:proofErr w:type="spellEnd"/>
    </w:p>
    <w:p w:rsidR="00854294" w:rsidRDefault="000F0784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NIP </w:t>
      </w:r>
      <w:r w:rsidR="00D93FE9">
        <w:rPr>
          <w:rFonts w:ascii="Cambria" w:hAnsi="Cambria"/>
        </w:rPr>
        <w:t>19690526 200003 1 003</w:t>
      </w:r>
    </w:p>
    <w:sectPr w:rsidR="00854294" w:rsidSect="00854294">
      <w:footerReference w:type="default" r:id="rId14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21" w:rsidRDefault="00FE4321" w:rsidP="00854294">
      <w:r>
        <w:separator/>
      </w:r>
    </w:p>
  </w:endnote>
  <w:endnote w:type="continuationSeparator" w:id="0">
    <w:p w:rsidR="00FE4321" w:rsidRDefault="00FE4321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¡§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94" w:rsidRDefault="000F0784">
    <w:pPr>
      <w:pStyle w:val="Footer"/>
      <w:jc w:val="center"/>
    </w:pPr>
    <w:r>
      <w:rPr>
        <w:sz w:val="20"/>
        <w:szCs w:val="20"/>
      </w:rPr>
      <w:t xml:space="preserve">Page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830C1C">
      <w:rPr>
        <w:b/>
        <w:bCs/>
        <w:sz w:val="20"/>
        <w:szCs w:val="20"/>
      </w:rPr>
      <w:fldChar w:fldCharType="separate"/>
    </w:r>
    <w:r w:rsidR="00AC0719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 w:rsidR="00830C1C">
      <w:rPr>
        <w:b/>
        <w:bCs/>
        <w:sz w:val="20"/>
        <w:szCs w:val="20"/>
      </w:rPr>
      <w:fldChar w:fldCharType="separate"/>
    </w:r>
    <w:r w:rsidR="00AC0719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</w:p>
  <w:p w:rsidR="00854294" w:rsidRDefault="008542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21" w:rsidRDefault="00FE4321" w:rsidP="00854294">
      <w:r>
        <w:separator/>
      </w:r>
    </w:p>
  </w:footnote>
  <w:footnote w:type="continuationSeparator" w:id="0">
    <w:p w:rsidR="00FE4321" w:rsidRDefault="00FE4321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B2C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920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2289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442EC"/>
    <w:multiLevelType w:val="hybridMultilevel"/>
    <w:tmpl w:val="DCDC81FC"/>
    <w:lvl w:ilvl="0" w:tplc="FFF2B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21137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F2B9A"/>
    <w:multiLevelType w:val="hybridMultilevel"/>
    <w:tmpl w:val="0DEA0604"/>
    <w:lvl w:ilvl="0" w:tplc="B0207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94"/>
    <w:rsid w:val="000F0784"/>
    <w:rsid w:val="00105338"/>
    <w:rsid w:val="00117156"/>
    <w:rsid w:val="001A5F28"/>
    <w:rsid w:val="001F597A"/>
    <w:rsid w:val="002C3830"/>
    <w:rsid w:val="00315C7A"/>
    <w:rsid w:val="00350A59"/>
    <w:rsid w:val="003B3502"/>
    <w:rsid w:val="003C50D3"/>
    <w:rsid w:val="00476489"/>
    <w:rsid w:val="00504B00"/>
    <w:rsid w:val="00565E74"/>
    <w:rsid w:val="007C6E19"/>
    <w:rsid w:val="00830C1C"/>
    <w:rsid w:val="00854294"/>
    <w:rsid w:val="009A2C04"/>
    <w:rsid w:val="00AC0719"/>
    <w:rsid w:val="00AD7F2C"/>
    <w:rsid w:val="00B47E01"/>
    <w:rsid w:val="00B72A2D"/>
    <w:rsid w:val="00C231BE"/>
    <w:rsid w:val="00D63E2D"/>
    <w:rsid w:val="00D93FE9"/>
    <w:rsid w:val="00DD63A1"/>
    <w:rsid w:val="00E57728"/>
    <w:rsid w:val="00F04D5C"/>
    <w:rsid w:val="00F33064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  <w:style w:type="table" w:styleId="TableGrid">
    <w:name w:val="Table Grid"/>
    <w:basedOn w:val="TableNormal"/>
    <w:uiPriority w:val="59"/>
    <w:rsid w:val="00D93FE9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57728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  <w:style w:type="table" w:styleId="TableGrid">
    <w:name w:val="Table Grid"/>
    <w:basedOn w:val="TableNormal"/>
    <w:uiPriority w:val="59"/>
    <w:rsid w:val="00D93FE9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57728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lp_uinmalang@kemenag.go.i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lp@uin-malang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in-malang.ac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in-malang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ari prasetyo</cp:lastModifiedBy>
  <cp:revision>2</cp:revision>
  <cp:lastPrinted>2016-02-22T02:21:00Z</cp:lastPrinted>
  <dcterms:created xsi:type="dcterms:W3CDTF">2017-04-05T09:38:00Z</dcterms:created>
  <dcterms:modified xsi:type="dcterms:W3CDTF">2017-04-05T09:38:00Z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