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A3575D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67A2944D" wp14:editId="63204482">
                      <wp:simplePos x="0" y="0"/>
                      <wp:positionH relativeFrom="column">
                        <wp:posOffset>-817880</wp:posOffset>
                      </wp:positionH>
                      <wp:positionV relativeFrom="paragraph">
                        <wp:posOffset>417830</wp:posOffset>
                      </wp:positionV>
                      <wp:extent cx="5954395" cy="0"/>
                      <wp:effectExtent l="0" t="19050" r="82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4.4pt,32.9pt" to="404.4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8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DF17A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8B69A9" w:rsidRPr="00C83669">
        <w:rPr>
          <w:rFonts w:asciiTheme="majorHAnsi" w:hAnsiTheme="majorHAnsi"/>
          <w:lang w:val="id-ID"/>
        </w:rPr>
        <w:t>Un.03</w:t>
      </w:r>
      <w:r w:rsidR="00A3575D">
        <w:rPr>
          <w:rFonts w:asciiTheme="majorHAnsi" w:hAnsiTheme="majorHAnsi"/>
          <w:lang w:val="id-ID"/>
        </w:rPr>
        <w:t>.ma’had</w:t>
      </w:r>
      <w:r w:rsidR="008B69A9" w:rsidRPr="00C83669">
        <w:rPr>
          <w:rFonts w:asciiTheme="majorHAnsi" w:hAnsiTheme="majorHAnsi"/>
          <w:lang w:val="id-ID"/>
        </w:rPr>
        <w:t>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CF5453">
        <w:rPr>
          <w:rFonts w:asciiTheme="majorHAnsi" w:hAnsiTheme="majorHAnsi"/>
          <w:lang w:val="en-US"/>
        </w:rPr>
        <w:t xml:space="preserve"> </w:t>
      </w:r>
      <w:r w:rsidR="0038196A">
        <w:rPr>
          <w:rFonts w:asciiTheme="majorHAnsi" w:hAnsiTheme="majorHAnsi"/>
          <w:lang w:val="id-ID"/>
        </w:rPr>
        <w:t xml:space="preserve">323 </w:t>
      </w:r>
      <w:r w:rsidR="008B69A9" w:rsidRPr="00C83669">
        <w:rPr>
          <w:rFonts w:asciiTheme="majorHAnsi" w:hAnsiTheme="majorHAnsi"/>
          <w:lang w:val="id-ID"/>
        </w:rPr>
        <w:t>/</w:t>
      </w:r>
      <w:r w:rsidR="0038196A">
        <w:rPr>
          <w:rFonts w:asciiTheme="majorHAnsi" w:hAnsiTheme="majorHAnsi"/>
          <w:lang w:val="id-ID"/>
        </w:rPr>
        <w:t>2017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38196A">
        <w:rPr>
          <w:rFonts w:asciiTheme="majorHAnsi" w:hAnsiTheme="majorHAnsi"/>
          <w:color w:val="000000" w:themeColor="text1"/>
          <w:lang w:val="id-ID"/>
        </w:rPr>
        <w:t xml:space="preserve">         </w:t>
      </w:r>
      <w:r w:rsidR="0038196A">
        <w:rPr>
          <w:rFonts w:asciiTheme="majorHAnsi" w:hAnsiTheme="majorHAnsi"/>
          <w:color w:val="000000" w:themeColor="text1"/>
          <w:lang w:val="en-US"/>
        </w:rPr>
        <w:t>31</w:t>
      </w:r>
      <w:r w:rsidR="00DF17A5">
        <w:rPr>
          <w:rFonts w:asciiTheme="majorHAnsi" w:hAnsiTheme="majorHAnsi"/>
          <w:color w:val="000000" w:themeColor="text1"/>
          <w:lang w:val="en-US"/>
        </w:rPr>
        <w:t xml:space="preserve"> </w:t>
      </w:r>
      <w:r w:rsidR="0038196A">
        <w:rPr>
          <w:rFonts w:asciiTheme="majorHAnsi" w:hAnsiTheme="majorHAnsi"/>
          <w:color w:val="000000" w:themeColor="text1"/>
          <w:lang w:val="id-ID"/>
        </w:rPr>
        <w:t>Mei 2017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E36343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</w:t>
      </w:r>
      <w:r w:rsidR="00E36343" w:rsidRPr="00E36343">
        <w:rPr>
          <w:rFonts w:asciiTheme="majorHAnsi" w:hAnsiTheme="majorHAnsi"/>
          <w:color w:val="000000" w:themeColor="text1"/>
          <w:lang w:val="id-ID"/>
        </w:rPr>
        <w:t>penerimaan ma</w:t>
      </w:r>
      <w:r w:rsidR="0038196A">
        <w:rPr>
          <w:rFonts w:asciiTheme="majorHAnsi" w:hAnsiTheme="majorHAnsi"/>
          <w:color w:val="000000" w:themeColor="text1"/>
          <w:lang w:val="id-ID"/>
        </w:rPr>
        <w:t>hasiswa baru Tahun Akademik 2017/2018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 xml:space="preserve">kami membutuhkan </w:t>
      </w:r>
      <w:r w:rsidR="00E36343" w:rsidRPr="00E36343">
        <w:rPr>
          <w:rFonts w:asciiTheme="majorHAnsi" w:hAnsiTheme="majorHAnsi"/>
          <w:bCs/>
          <w:iCs/>
          <w:color w:val="000000" w:themeColor="text1"/>
          <w:lang w:val="id-ID"/>
        </w:rPr>
        <w:t>belanja bahan berupa cetak</w:t>
      </w:r>
      <w:r w:rsidR="00E36343">
        <w:rPr>
          <w:rFonts w:asciiTheme="majorHAnsi" w:hAnsiTheme="majorHAnsi"/>
          <w:bCs/>
          <w:iCs/>
          <w:color w:val="000000" w:themeColor="text1"/>
          <w:lang w:val="id-ID"/>
        </w:rPr>
        <w:t xml:space="preserve"> paket buku pedoman dan kitab</w:t>
      </w:r>
      <w:r w:rsidR="00E36343" w:rsidRPr="00E36343">
        <w:rPr>
          <w:rFonts w:asciiTheme="majorHAnsi" w:hAnsiTheme="majorHAnsi"/>
          <w:bCs/>
          <w:iCs/>
          <w:color w:val="000000" w:themeColor="text1"/>
          <w:lang w:val="id-ID"/>
        </w:rPr>
        <w:t xml:space="preserve"> pada Unit Pusat Ma’had Al Jami’ah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,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 xml:space="preserve">maka dari itu </w:t>
      </w:r>
      <w:r w:rsidR="004B1EB6">
        <w:rPr>
          <w:rFonts w:asciiTheme="majorHAnsi" w:hAnsiTheme="majorHAnsi"/>
          <w:color w:val="000000" w:themeColor="text1"/>
          <w:lang w:val="id-ID"/>
        </w:rPr>
        <w:t xml:space="preserve"> kami ber</w:t>
      </w:r>
      <w:r w:rsidR="004B1EB6" w:rsidRPr="00E36343">
        <w:rPr>
          <w:rFonts w:asciiTheme="majorHAnsi" w:hAnsiTheme="majorHAnsi"/>
          <w:color w:val="000000" w:themeColor="text1"/>
          <w:lang w:val="id-ID"/>
        </w:rPr>
        <w:t xml:space="preserve">harap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agar perusahaan saudara memberikan informasi tentang harga barang sesuai dengan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>spesifikasi barang yang kami lampirkan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dalam surat ini</w:t>
      </w:r>
      <w:r w:rsidR="00A41A97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</w:t>
      </w:r>
      <w:r w:rsidR="004B1EB6">
        <w:rPr>
          <w:rFonts w:asciiTheme="majorHAnsi" w:hAnsiTheme="majorHAnsi"/>
          <w:color w:val="000000" w:themeColor="text1"/>
          <w:lang w:val="id-ID"/>
        </w:rPr>
        <w:t>(Harga Perkiraan Sendiri)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DF17A5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38196A">
        <w:rPr>
          <w:rFonts w:asciiTheme="majorHAnsi" w:hAnsiTheme="majorHAnsi"/>
          <w:lang w:val="en-US"/>
        </w:rPr>
        <w:t>Selasa</w:t>
      </w:r>
      <w:proofErr w:type="spellEnd"/>
      <w:r w:rsidR="00DF17A5">
        <w:rPr>
          <w:rFonts w:asciiTheme="majorHAnsi" w:hAnsiTheme="majorHAnsi"/>
          <w:lang w:val="en-US"/>
        </w:rPr>
        <w:t>, 0</w:t>
      </w:r>
      <w:r w:rsidR="0038196A">
        <w:rPr>
          <w:rFonts w:asciiTheme="majorHAnsi" w:hAnsiTheme="majorHAnsi"/>
          <w:lang w:val="id-ID"/>
        </w:rPr>
        <w:t xml:space="preserve">6 Juni </w:t>
      </w:r>
      <w:r w:rsidR="00283843">
        <w:rPr>
          <w:rFonts w:asciiTheme="majorHAnsi" w:hAnsiTheme="majorHAnsi"/>
          <w:lang w:val="id-ID"/>
        </w:rPr>
        <w:t>201</w:t>
      </w:r>
      <w:r w:rsidR="0038196A">
        <w:rPr>
          <w:rFonts w:asciiTheme="majorHAnsi" w:hAnsiTheme="majorHAnsi"/>
          <w:lang w:val="id-ID"/>
        </w:rPr>
        <w:t>7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A01DFA" w:rsidRDefault="00A01DFA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  <w:lang w:val="id-ID"/>
        </w:rPr>
        <w:t>M. Baydhowi, S.Sos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A01DFA">
        <w:rPr>
          <w:rFonts w:asciiTheme="majorHAnsi" w:hAnsiTheme="majorHAnsi" w:cs="Tahoma"/>
        </w:rPr>
        <w:t>197907</w:t>
      </w:r>
      <w:r w:rsidR="00A01DFA">
        <w:rPr>
          <w:rFonts w:asciiTheme="majorHAnsi" w:hAnsiTheme="majorHAnsi" w:cs="Tahoma"/>
          <w:lang w:val="id-ID"/>
        </w:rPr>
        <w:t>06</w:t>
      </w:r>
      <w:r w:rsidR="00A01DFA">
        <w:rPr>
          <w:rFonts w:asciiTheme="majorHAnsi" w:hAnsiTheme="majorHAnsi" w:cs="Tahoma"/>
        </w:rPr>
        <w:t xml:space="preserve"> 200901 1 01</w:t>
      </w:r>
      <w:r w:rsidR="002C5775">
        <w:rPr>
          <w:rFonts w:asciiTheme="majorHAnsi" w:hAnsiTheme="majorHAnsi" w:cs="Tahoma"/>
        </w:rPr>
        <w:t>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A41A97" w:rsidRDefault="00C83669" w:rsidP="00A01DFA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="00A3575D">
              <w:rPr>
                <w:rFonts w:asciiTheme="majorHAnsi" w:hAnsiTheme="majorHAnsi"/>
                <w:sz w:val="22"/>
                <w:szCs w:val="22"/>
                <w:lang w:val="id-ID"/>
              </w:rPr>
              <w:t>.ma’had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38196A">
              <w:rPr>
                <w:rFonts w:asciiTheme="majorHAnsi" w:hAnsiTheme="majorHAnsi"/>
                <w:sz w:val="22"/>
                <w:szCs w:val="22"/>
                <w:lang w:val="id-ID"/>
              </w:rPr>
              <w:t>323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A41A97">
              <w:rPr>
                <w:rFonts w:asciiTheme="majorHAnsi" w:hAnsiTheme="majorHAnsi"/>
                <w:sz w:val="22"/>
                <w:szCs w:val="22"/>
              </w:rPr>
              <w:t>201</w:t>
            </w:r>
            <w:r w:rsidR="0038196A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A01DFA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3</w:t>
            </w:r>
            <w:r w:rsidR="0038196A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Mei</w:t>
            </w:r>
            <w:r w:rsidR="004B1EB6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8196A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2017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4B1EB6" w:rsidRDefault="008B69A9" w:rsidP="00054A51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Pengadaan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Paket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Buku</w:t>
      </w:r>
      <w:proofErr w:type="spellEnd"/>
      <w:r w:rsidR="00A01DFA">
        <w:rPr>
          <w:rFonts w:asciiTheme="majorHAnsi" w:hAnsiTheme="majorHAnsi"/>
          <w:b/>
          <w:color w:val="000000" w:themeColor="text1"/>
          <w:lang w:val="id-ID"/>
        </w:rPr>
        <w:t xml:space="preserve"> Pedoman</w:t>
      </w:r>
      <w:r w:rsidR="00A01DFA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A01DFA">
        <w:rPr>
          <w:rFonts w:asciiTheme="majorHAnsi" w:hAnsiTheme="majorHAnsi"/>
          <w:b/>
          <w:color w:val="000000" w:themeColor="text1"/>
          <w:lang w:val="en-US"/>
        </w:rPr>
        <w:t>dan</w:t>
      </w:r>
      <w:proofErr w:type="spellEnd"/>
      <w:r w:rsidR="00A01DFA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A01DFA">
        <w:rPr>
          <w:rFonts w:asciiTheme="majorHAnsi" w:hAnsiTheme="majorHAnsi"/>
          <w:b/>
          <w:color w:val="000000" w:themeColor="text1"/>
          <w:lang w:val="en-US"/>
        </w:rPr>
        <w:t>K</w:t>
      </w:r>
      <w:r w:rsidR="00054A51">
        <w:rPr>
          <w:rFonts w:asciiTheme="majorHAnsi" w:hAnsiTheme="majorHAnsi"/>
          <w:b/>
          <w:color w:val="000000" w:themeColor="text1"/>
          <w:lang w:val="en-US"/>
        </w:rPr>
        <w:t>itab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Ma’had</w:t>
      </w:r>
      <w:proofErr w:type="spellEnd"/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8196A">
        <w:rPr>
          <w:rFonts w:asciiTheme="majorHAnsi" w:hAnsiTheme="majorHAnsi"/>
          <w:b/>
          <w:sz w:val="22"/>
          <w:szCs w:val="22"/>
          <w:lang w:val="id-ID"/>
        </w:rPr>
        <w:t>7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709"/>
        <w:gridCol w:w="709"/>
        <w:gridCol w:w="992"/>
        <w:gridCol w:w="1134"/>
      </w:tblGrid>
      <w:tr w:rsidR="00765251" w:rsidRPr="000F7C0D" w:rsidTr="00E36343">
        <w:trPr>
          <w:jc w:val="center"/>
        </w:trPr>
        <w:tc>
          <w:tcPr>
            <w:tcW w:w="704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5528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99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134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CF02A0" w:rsidRPr="0017085A" w:rsidTr="00E36343">
        <w:trPr>
          <w:trHeight w:val="1292"/>
          <w:jc w:val="center"/>
        </w:trPr>
        <w:tc>
          <w:tcPr>
            <w:tcW w:w="704" w:type="dxa"/>
          </w:tcPr>
          <w:p w:rsidR="00CF02A0" w:rsidRPr="000F7C0D" w:rsidRDefault="001C2AE1" w:rsidP="0006284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</w:p>
        </w:tc>
        <w:tc>
          <w:tcPr>
            <w:tcW w:w="5528" w:type="dxa"/>
          </w:tcPr>
          <w:p w:rsidR="00CF02A0" w:rsidRPr="0017085A" w:rsidRDefault="0017085A" w:rsidP="0074610C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Buku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34C2F" w:rsidRPr="0017085A">
              <w:rPr>
                <w:rFonts w:asciiTheme="majorBidi" w:hAnsiTheme="majorBidi" w:cstheme="majorBidi"/>
                <w:b/>
                <w:bCs/>
              </w:rPr>
              <w:t>Conversation Book</w:t>
            </w:r>
          </w:p>
          <w:p w:rsidR="00CF02A0" w:rsidRPr="000C1CFA" w:rsidRDefault="0017085A" w:rsidP="0074610C">
            <w:pPr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proofErr w:type="spellStart"/>
            <w:r w:rsidRPr="000C1CF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bookmarkEnd w:id="0"/>
          <w:p w:rsidR="0074610C" w:rsidRPr="0074610C" w:rsidRDefault="0074610C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sz w:val="20"/>
                <w:szCs w:val="20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</w:t>
            </w:r>
            <w:r>
              <w:rPr>
                <w:rFonts w:asciiTheme="majorBidi" w:hAnsiTheme="majorBidi" w:cstheme="majorBidi"/>
              </w:rPr>
              <w:t>kuran</w:t>
            </w:r>
            <w:proofErr w:type="spellEnd"/>
            <w:r>
              <w:rPr>
                <w:rFonts w:asciiTheme="majorBidi" w:hAnsiTheme="majorBidi" w:cstheme="majorBidi"/>
              </w:rPr>
              <w:t xml:space="preserve"> : </w:t>
            </w:r>
            <w:r>
              <w:rPr>
                <w:sz w:val="20"/>
                <w:szCs w:val="20"/>
              </w:rPr>
              <w:t>16,5 X 21,5 Cm</w:t>
            </w:r>
          </w:p>
          <w:p w:rsidR="00CF02A0" w:rsidRPr="0017085A" w:rsidRDefault="003267C7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113 + 5 (v</w:t>
            </w:r>
            <w:r w:rsidR="0017085A" w:rsidRPr="0017085A">
              <w:rPr>
                <w:rFonts w:asciiTheme="majorBidi" w:hAnsiTheme="majorBidi" w:cstheme="majorBidi"/>
              </w:rPr>
              <w:t>)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Cover : full </w:t>
            </w:r>
            <w:proofErr w:type="spellStart"/>
            <w:r w:rsidRPr="0017085A">
              <w:rPr>
                <w:rFonts w:asciiTheme="majorBidi" w:hAnsiTheme="majorBidi" w:cstheme="majorBidi"/>
              </w:rPr>
              <w:t>color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satu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sisi</w:t>
            </w:r>
            <w:proofErr w:type="spellEnd"/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Halaman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isi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: b/w 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Kertas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cover : art paper 230 gram + </w:t>
            </w:r>
            <w:proofErr w:type="spellStart"/>
            <w:r w:rsidRPr="0017085A">
              <w:rPr>
                <w:rFonts w:asciiTheme="majorBidi" w:hAnsiTheme="majorBidi" w:cstheme="majorBidi"/>
              </w:rPr>
              <w:t>laminasi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glossy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Kertas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isi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: </w:t>
            </w:r>
            <w:r w:rsidR="0074610C">
              <w:rPr>
                <w:rFonts w:asciiTheme="majorBidi" w:hAnsiTheme="majorBidi" w:cstheme="majorBidi"/>
              </w:rPr>
              <w:t>HVS</w:t>
            </w:r>
            <w:r w:rsidRPr="0017085A">
              <w:rPr>
                <w:rFonts w:asciiTheme="majorBidi" w:hAnsiTheme="majorBidi" w:cstheme="majorBidi"/>
              </w:rPr>
              <w:t xml:space="preserve"> 80 gram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Perfect binding 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17085A">
              <w:rPr>
                <w:rFonts w:asciiTheme="majorBidi" w:hAnsiTheme="majorBidi" w:cstheme="majorBidi"/>
              </w:rPr>
              <w:t>lurap</w:t>
            </w:r>
            <w:proofErr w:type="spellEnd"/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CF02A0" w:rsidRPr="0017085A" w:rsidRDefault="003267C7" w:rsidP="000628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lang w:val="id-ID"/>
              </w:rPr>
              <w:t>85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09" w:type="dxa"/>
            <w:tcBorders>
              <w:left w:val="nil"/>
            </w:tcBorders>
          </w:tcPr>
          <w:p w:rsidR="00CF02A0" w:rsidRPr="0017085A" w:rsidRDefault="0074610C" w:rsidP="0006284E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CF02A0" w:rsidRPr="0017085A" w:rsidRDefault="00CF02A0" w:rsidP="0006284E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CF02A0" w:rsidRPr="0017085A" w:rsidRDefault="00CF02A0" w:rsidP="0006284E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1C2AE1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2</w:t>
            </w:r>
          </w:p>
        </w:tc>
        <w:tc>
          <w:tcPr>
            <w:tcW w:w="5528" w:type="dxa"/>
          </w:tcPr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Buku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Monitoring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Akademik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Ma’had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4610C" w:rsidRPr="0074610C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10, 5 x 15 cm</w:t>
            </w:r>
          </w:p>
          <w:p w:rsidR="0074610C" w:rsidRPr="0074610C" w:rsidRDefault="003267C7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56 +5 (v)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230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  <w:b/>
                <w:bCs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3267C7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  <w:r w:rsidR="0074610C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1C2AE1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</w:t>
            </w:r>
          </w:p>
        </w:tc>
        <w:tc>
          <w:tcPr>
            <w:tcW w:w="5528" w:type="dxa"/>
          </w:tcPr>
          <w:p w:rsidR="0074610C" w:rsidRPr="0017085A" w:rsidRDefault="00534C2F" w:rsidP="0074610C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Kitab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Tuhfathu</w:t>
            </w:r>
            <w:proofErr w:type="spellEnd"/>
            <w:r w:rsidR="0074610C" w:rsidRPr="0017085A">
              <w:rPr>
                <w:rFonts w:asciiTheme="majorBidi" w:hAnsiTheme="majorBidi" w:cstheme="majorBidi"/>
                <w:b/>
                <w:bCs/>
              </w:rPr>
              <w:t xml:space="preserve"> al-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tullab</w:t>
            </w:r>
            <w:proofErr w:type="spellEnd"/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14,5 x 21 cm</w:t>
            </w:r>
          </w:p>
          <w:p w:rsidR="0074610C" w:rsidRPr="0074610C" w:rsidRDefault="003267C7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73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: full  </w:t>
            </w:r>
            <w:proofErr w:type="spellStart"/>
            <w:r w:rsidRPr="0074610C">
              <w:rPr>
                <w:rFonts w:asciiTheme="majorBidi" w:hAnsiTheme="majorBidi" w:cstheme="majorBidi"/>
              </w:rPr>
              <w:t>color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b/w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230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Perfect binding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3267C7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lang w:val="id-ID"/>
              </w:rPr>
              <w:t>85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1C2AE1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4</w:t>
            </w:r>
          </w:p>
        </w:tc>
        <w:tc>
          <w:tcPr>
            <w:tcW w:w="5528" w:type="dxa"/>
          </w:tcPr>
          <w:p w:rsidR="0074610C" w:rsidRPr="0017085A" w:rsidRDefault="00534C2F" w:rsidP="0074610C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Kitab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Taqorrubat</w:t>
            </w:r>
            <w:proofErr w:type="spellEnd"/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9 x 13cm</w:t>
            </w:r>
          </w:p>
          <w:p w:rsidR="0074610C" w:rsidRPr="0074610C" w:rsidRDefault="005507EE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180</w:t>
            </w:r>
            <w:r w:rsidR="00DF17A5">
              <w:rPr>
                <w:rFonts w:asciiTheme="majorBidi" w:hAnsiTheme="majorBidi" w:cstheme="majorBidi"/>
              </w:rPr>
              <w:t xml:space="preserve"> + 8</w:t>
            </w:r>
            <w:r w:rsidR="0074610C" w:rsidRPr="0074610C">
              <w:rPr>
                <w:rFonts w:asciiTheme="majorBidi" w:hAnsiTheme="majorBidi" w:cstheme="majorBidi"/>
              </w:rPr>
              <w:t xml:space="preserve"> ( vi</w:t>
            </w:r>
            <w:r w:rsidR="00DF17A5">
              <w:rPr>
                <w:rFonts w:asciiTheme="majorBidi" w:hAnsiTheme="majorBidi" w:cstheme="majorBidi"/>
              </w:rPr>
              <w:t>ii</w:t>
            </w:r>
            <w:r w:rsidR="0074610C" w:rsidRPr="0074610C">
              <w:rPr>
                <w:rFonts w:asciiTheme="majorBidi" w:hAnsiTheme="majorBidi" w:cstheme="majorBidi"/>
              </w:rPr>
              <w:t>)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230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3267C7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lang w:val="id-ID"/>
              </w:rPr>
              <w:t>85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1C2AE1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lastRenderedPageBreak/>
              <w:t>5</w:t>
            </w:r>
          </w:p>
        </w:tc>
        <w:tc>
          <w:tcPr>
            <w:tcW w:w="5528" w:type="dxa"/>
          </w:tcPr>
          <w:p w:rsidR="0074610C" w:rsidRPr="0017085A" w:rsidRDefault="00534C2F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Kitab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Tad</w:t>
            </w:r>
            <w:r w:rsidR="00163C55">
              <w:rPr>
                <w:rFonts w:asciiTheme="majorBidi" w:hAnsiTheme="majorBidi" w:cstheme="majorBidi"/>
                <w:b/>
                <w:bCs/>
              </w:rPr>
              <w:t>z</w:t>
            </w:r>
            <w:r w:rsidR="0074610C" w:rsidRPr="0017085A">
              <w:rPr>
                <w:rFonts w:asciiTheme="majorBidi" w:hAnsiTheme="majorBidi" w:cstheme="majorBidi"/>
                <w:b/>
                <w:bCs/>
              </w:rPr>
              <w:t>hib</w:t>
            </w:r>
            <w:proofErr w:type="spellEnd"/>
            <w:r w:rsidR="0074610C"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16 x 24 cm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285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260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534C2F" w:rsidRDefault="0074610C" w:rsidP="00534C2F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3267C7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lang w:val="id-ID"/>
              </w:rPr>
              <w:t>85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1C2AE1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6</w:t>
            </w:r>
          </w:p>
        </w:tc>
        <w:tc>
          <w:tcPr>
            <w:tcW w:w="5528" w:type="dxa"/>
          </w:tcPr>
          <w:p w:rsidR="000C1CFA" w:rsidRDefault="0074610C" w:rsidP="0074610C">
            <w:pPr>
              <w:rPr>
                <w:rFonts w:asciiTheme="majorBidi" w:hAnsiTheme="majorBidi" w:cstheme="majorBidi"/>
                <w:b/>
                <w:bCs/>
                <w:lang w:val="id-ID"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Buku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pendampingan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mahasantri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16 x 21 cm</w:t>
            </w:r>
          </w:p>
          <w:p w:rsidR="0074610C" w:rsidRPr="0074610C" w:rsidRDefault="00DE2ABA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95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260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  <w:b/>
                <w:bCs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3267C7" w:rsidRDefault="003267C7" w:rsidP="0074610C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350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1C2AE1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7</w:t>
            </w:r>
          </w:p>
        </w:tc>
        <w:tc>
          <w:tcPr>
            <w:tcW w:w="5528" w:type="dxa"/>
          </w:tcPr>
          <w:p w:rsidR="0074610C" w:rsidRPr="0017085A" w:rsidRDefault="00534C2F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Kitab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Qomi</w:t>
            </w:r>
            <w:proofErr w:type="spellEnd"/>
            <w:r w:rsidR="0074610C" w:rsidRPr="0017085A">
              <w:rPr>
                <w:rFonts w:asciiTheme="majorBidi" w:hAnsiTheme="majorBidi" w:cstheme="majorBidi"/>
                <w:b/>
                <w:bCs/>
              </w:rPr>
              <w:t xml:space="preserve">’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tughyan</w:t>
            </w:r>
            <w:proofErr w:type="spellEnd"/>
            <w:r w:rsidR="0074610C"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15 x 21 cm</w:t>
            </w:r>
          </w:p>
          <w:p w:rsidR="0074610C" w:rsidRPr="0074610C" w:rsidRDefault="00163C55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89 + 5 (v</w:t>
            </w:r>
            <w:r w:rsidR="0074610C" w:rsidRPr="0074610C">
              <w:rPr>
                <w:rFonts w:asciiTheme="majorBidi" w:hAnsiTheme="majorBidi" w:cstheme="majorBidi"/>
              </w:rPr>
              <w:t>)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260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  <w:b/>
                <w:bCs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3267C7" w:rsidP="003267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lang w:val="id-ID"/>
              </w:rPr>
              <w:t>85</w:t>
            </w:r>
            <w:r w:rsidR="00DE2ABA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496EB8" w:rsidRPr="000F7C0D" w:rsidTr="00E36343">
        <w:trPr>
          <w:jc w:val="center"/>
        </w:trPr>
        <w:tc>
          <w:tcPr>
            <w:tcW w:w="8642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134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E36343">
        <w:trPr>
          <w:jc w:val="center"/>
        </w:trPr>
        <w:tc>
          <w:tcPr>
            <w:tcW w:w="8642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134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E36343">
        <w:trPr>
          <w:jc w:val="center"/>
        </w:trPr>
        <w:tc>
          <w:tcPr>
            <w:tcW w:w="9776" w:type="dxa"/>
            <w:gridSpan w:val="6"/>
          </w:tcPr>
          <w:p w:rsidR="00496EB8" w:rsidRPr="000F7C0D" w:rsidRDefault="00496EB8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A41A97" w:rsidRPr="000F7C0D" w:rsidRDefault="00A41A97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A01DFA" w:rsidRPr="00A01DFA" w:rsidRDefault="00A01DFA" w:rsidP="00A01DFA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r w:rsidRPr="00A01DFA">
        <w:rPr>
          <w:rFonts w:asciiTheme="majorHAnsi" w:hAnsiTheme="majorHAnsi" w:cs="Tahoma"/>
          <w:sz w:val="22"/>
          <w:szCs w:val="22"/>
        </w:rPr>
        <w:t xml:space="preserve">M. </w:t>
      </w:r>
      <w:proofErr w:type="spellStart"/>
      <w:r w:rsidRPr="00A01DFA">
        <w:rPr>
          <w:rFonts w:asciiTheme="majorHAnsi" w:hAnsiTheme="majorHAnsi" w:cs="Tahoma"/>
          <w:sz w:val="22"/>
          <w:szCs w:val="22"/>
        </w:rPr>
        <w:t>Baydhowi</w:t>
      </w:r>
      <w:proofErr w:type="spellEnd"/>
      <w:r w:rsidRPr="00A01DFA"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 w:rsidRPr="00A01DFA">
        <w:rPr>
          <w:rFonts w:asciiTheme="majorHAnsi" w:hAnsiTheme="majorHAnsi" w:cs="Tahoma"/>
          <w:sz w:val="22"/>
          <w:szCs w:val="22"/>
        </w:rPr>
        <w:t>S.Sos</w:t>
      </w:r>
      <w:proofErr w:type="spellEnd"/>
    </w:p>
    <w:p w:rsidR="001861A6" w:rsidRPr="000F7C0D" w:rsidRDefault="00A01DFA" w:rsidP="00A01DFA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A01DFA">
        <w:rPr>
          <w:rFonts w:asciiTheme="majorHAnsi" w:hAnsiTheme="majorHAnsi" w:cs="Tahoma"/>
          <w:sz w:val="22"/>
          <w:szCs w:val="22"/>
        </w:rPr>
        <w:t>NIP 19790706 200901 1 013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12"/>
    <w:multiLevelType w:val="hybridMultilevel"/>
    <w:tmpl w:val="3B78B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B696B"/>
    <w:multiLevelType w:val="hybridMultilevel"/>
    <w:tmpl w:val="17C0A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3B58"/>
    <w:multiLevelType w:val="hybridMultilevel"/>
    <w:tmpl w:val="C1964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70AD6"/>
    <w:multiLevelType w:val="hybridMultilevel"/>
    <w:tmpl w:val="CECE2EB8"/>
    <w:lvl w:ilvl="0" w:tplc="0421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244D3"/>
    <w:multiLevelType w:val="hybridMultilevel"/>
    <w:tmpl w:val="42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1D672477"/>
    <w:multiLevelType w:val="hybridMultilevel"/>
    <w:tmpl w:val="49107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37F14"/>
    <w:multiLevelType w:val="hybridMultilevel"/>
    <w:tmpl w:val="CD6A0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C15E5"/>
    <w:multiLevelType w:val="hybridMultilevel"/>
    <w:tmpl w:val="35DCBD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34B41AC6"/>
    <w:multiLevelType w:val="hybridMultilevel"/>
    <w:tmpl w:val="8E5E219E"/>
    <w:lvl w:ilvl="0" w:tplc="04090005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03045"/>
    <w:multiLevelType w:val="hybridMultilevel"/>
    <w:tmpl w:val="E66AED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963F5"/>
    <w:multiLevelType w:val="hybridMultilevel"/>
    <w:tmpl w:val="F866E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27041"/>
    <w:multiLevelType w:val="hybridMultilevel"/>
    <w:tmpl w:val="8BA24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E376DB"/>
    <w:multiLevelType w:val="hybridMultilevel"/>
    <w:tmpl w:val="0DD05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3625FD"/>
    <w:multiLevelType w:val="hybridMultilevel"/>
    <w:tmpl w:val="36C448B6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33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6"/>
  </w:num>
  <w:num w:numId="5">
    <w:abstractNumId w:val="2"/>
  </w:num>
  <w:num w:numId="6">
    <w:abstractNumId w:val="23"/>
  </w:num>
  <w:num w:numId="7">
    <w:abstractNumId w:val="22"/>
  </w:num>
  <w:num w:numId="8">
    <w:abstractNumId w:val="8"/>
  </w:num>
  <w:num w:numId="9">
    <w:abstractNumId w:val="12"/>
  </w:num>
  <w:num w:numId="10">
    <w:abstractNumId w:val="27"/>
  </w:num>
  <w:num w:numId="11">
    <w:abstractNumId w:val="34"/>
  </w:num>
  <w:num w:numId="12">
    <w:abstractNumId w:val="14"/>
  </w:num>
  <w:num w:numId="13">
    <w:abstractNumId w:val="28"/>
  </w:num>
  <w:num w:numId="14">
    <w:abstractNumId w:val="29"/>
  </w:num>
  <w:num w:numId="15">
    <w:abstractNumId w:val="33"/>
  </w:num>
  <w:num w:numId="16">
    <w:abstractNumId w:val="0"/>
  </w:num>
  <w:num w:numId="17">
    <w:abstractNumId w:val="5"/>
  </w:num>
  <w:num w:numId="18">
    <w:abstractNumId w:val="18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7"/>
  </w:num>
  <w:num w:numId="22">
    <w:abstractNumId w:val="16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2"/>
  </w:num>
  <w:num w:numId="26">
    <w:abstractNumId w:val="31"/>
  </w:num>
  <w:num w:numId="27">
    <w:abstractNumId w:val="25"/>
  </w:num>
  <w:num w:numId="28">
    <w:abstractNumId w:val="17"/>
  </w:num>
  <w:num w:numId="29">
    <w:abstractNumId w:val="9"/>
  </w:num>
  <w:num w:numId="30">
    <w:abstractNumId w:val="4"/>
  </w:num>
  <w:num w:numId="31">
    <w:abstractNumId w:val="15"/>
  </w:num>
  <w:num w:numId="32">
    <w:abstractNumId w:val="11"/>
  </w:num>
  <w:num w:numId="33">
    <w:abstractNumId w:val="13"/>
  </w:num>
  <w:num w:numId="34">
    <w:abstractNumId w:val="3"/>
  </w:num>
  <w:num w:numId="35">
    <w:abstractNumId w:val="26"/>
  </w:num>
  <w:num w:numId="3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21"/>
    <w:rsid w:val="00003E4C"/>
    <w:rsid w:val="00015814"/>
    <w:rsid w:val="000218BC"/>
    <w:rsid w:val="00021908"/>
    <w:rsid w:val="00034A3F"/>
    <w:rsid w:val="00044D58"/>
    <w:rsid w:val="00051410"/>
    <w:rsid w:val="00054A51"/>
    <w:rsid w:val="0006284E"/>
    <w:rsid w:val="00086F33"/>
    <w:rsid w:val="00091EA8"/>
    <w:rsid w:val="000B387F"/>
    <w:rsid w:val="000C1CFA"/>
    <w:rsid w:val="000D300B"/>
    <w:rsid w:val="000F7C0D"/>
    <w:rsid w:val="000F7F0B"/>
    <w:rsid w:val="00110D6E"/>
    <w:rsid w:val="00155543"/>
    <w:rsid w:val="00163C55"/>
    <w:rsid w:val="0017011F"/>
    <w:rsid w:val="0017085A"/>
    <w:rsid w:val="00176467"/>
    <w:rsid w:val="001861A6"/>
    <w:rsid w:val="00186B2F"/>
    <w:rsid w:val="001A0BC8"/>
    <w:rsid w:val="001A651E"/>
    <w:rsid w:val="001C0DA2"/>
    <w:rsid w:val="001C2AE1"/>
    <w:rsid w:val="001D3F54"/>
    <w:rsid w:val="001E6BB1"/>
    <w:rsid w:val="00202B4A"/>
    <w:rsid w:val="002231F1"/>
    <w:rsid w:val="00244146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267C7"/>
    <w:rsid w:val="00343C31"/>
    <w:rsid w:val="003470DA"/>
    <w:rsid w:val="003665E9"/>
    <w:rsid w:val="0038196A"/>
    <w:rsid w:val="00382AF9"/>
    <w:rsid w:val="0039076E"/>
    <w:rsid w:val="00392545"/>
    <w:rsid w:val="003E722E"/>
    <w:rsid w:val="0040305E"/>
    <w:rsid w:val="00420FA3"/>
    <w:rsid w:val="00421170"/>
    <w:rsid w:val="0042496A"/>
    <w:rsid w:val="00436BDB"/>
    <w:rsid w:val="00450B7F"/>
    <w:rsid w:val="00470CB4"/>
    <w:rsid w:val="00490815"/>
    <w:rsid w:val="00492D6B"/>
    <w:rsid w:val="00496EB8"/>
    <w:rsid w:val="004A1143"/>
    <w:rsid w:val="004A4F80"/>
    <w:rsid w:val="004B1EB6"/>
    <w:rsid w:val="004B47DF"/>
    <w:rsid w:val="004C7136"/>
    <w:rsid w:val="004D007A"/>
    <w:rsid w:val="004D6353"/>
    <w:rsid w:val="005048C2"/>
    <w:rsid w:val="0050620A"/>
    <w:rsid w:val="00523D81"/>
    <w:rsid w:val="00534C2F"/>
    <w:rsid w:val="005507EE"/>
    <w:rsid w:val="00551C4E"/>
    <w:rsid w:val="005565D8"/>
    <w:rsid w:val="0056171B"/>
    <w:rsid w:val="00570EF6"/>
    <w:rsid w:val="005A1278"/>
    <w:rsid w:val="005A4E8C"/>
    <w:rsid w:val="005C5DED"/>
    <w:rsid w:val="00607A67"/>
    <w:rsid w:val="006430A9"/>
    <w:rsid w:val="00664C69"/>
    <w:rsid w:val="00677B4C"/>
    <w:rsid w:val="006C03E9"/>
    <w:rsid w:val="006D3CE0"/>
    <w:rsid w:val="006F0213"/>
    <w:rsid w:val="006F2B9C"/>
    <w:rsid w:val="00706D0C"/>
    <w:rsid w:val="00723460"/>
    <w:rsid w:val="00732275"/>
    <w:rsid w:val="00743A9D"/>
    <w:rsid w:val="0074610C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7F1C5D"/>
    <w:rsid w:val="00807AC0"/>
    <w:rsid w:val="00811FEA"/>
    <w:rsid w:val="0081750C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9E7041"/>
    <w:rsid w:val="00A01DFA"/>
    <w:rsid w:val="00A24D31"/>
    <w:rsid w:val="00A25AF2"/>
    <w:rsid w:val="00A3575D"/>
    <w:rsid w:val="00A41A97"/>
    <w:rsid w:val="00A75CCB"/>
    <w:rsid w:val="00A770DD"/>
    <w:rsid w:val="00AB650C"/>
    <w:rsid w:val="00AE1BED"/>
    <w:rsid w:val="00AF39A8"/>
    <w:rsid w:val="00B13425"/>
    <w:rsid w:val="00B33144"/>
    <w:rsid w:val="00B407C5"/>
    <w:rsid w:val="00B47664"/>
    <w:rsid w:val="00B55745"/>
    <w:rsid w:val="00B92CE2"/>
    <w:rsid w:val="00B93C82"/>
    <w:rsid w:val="00BA355F"/>
    <w:rsid w:val="00BB4F33"/>
    <w:rsid w:val="00C03372"/>
    <w:rsid w:val="00C06F17"/>
    <w:rsid w:val="00C15BA1"/>
    <w:rsid w:val="00C32998"/>
    <w:rsid w:val="00C3577B"/>
    <w:rsid w:val="00C809BB"/>
    <w:rsid w:val="00C83669"/>
    <w:rsid w:val="00CA7A4E"/>
    <w:rsid w:val="00CC1C6E"/>
    <w:rsid w:val="00CE0DEA"/>
    <w:rsid w:val="00CF02A0"/>
    <w:rsid w:val="00CF5453"/>
    <w:rsid w:val="00CF7B56"/>
    <w:rsid w:val="00D01E88"/>
    <w:rsid w:val="00D0533C"/>
    <w:rsid w:val="00D4065B"/>
    <w:rsid w:val="00D62397"/>
    <w:rsid w:val="00D83A61"/>
    <w:rsid w:val="00D872A6"/>
    <w:rsid w:val="00DD5F95"/>
    <w:rsid w:val="00DE156A"/>
    <w:rsid w:val="00DE2ABA"/>
    <w:rsid w:val="00DF0286"/>
    <w:rsid w:val="00DF17A5"/>
    <w:rsid w:val="00DF1DC3"/>
    <w:rsid w:val="00E102E5"/>
    <w:rsid w:val="00E36343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A602FA-46E0-4D0F-B7F8-187CC75E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ari prasetyo</cp:lastModifiedBy>
  <cp:revision>8</cp:revision>
  <cp:lastPrinted>2017-05-31T04:25:00Z</cp:lastPrinted>
  <dcterms:created xsi:type="dcterms:W3CDTF">2017-05-31T04:12:00Z</dcterms:created>
  <dcterms:modified xsi:type="dcterms:W3CDTF">2017-05-31T09:48:00Z</dcterms:modified>
</cp:coreProperties>
</file>